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56480" w:rsidRDefault="00156480">
      <w:pPr>
        <w:rPr>
          <w:b/>
        </w:rPr>
      </w:pPr>
    </w:p>
    <w:p w14:paraId="00000002" w14:textId="77777777" w:rsidR="00156480" w:rsidRDefault="000136AC">
      <w:pPr>
        <w:rPr>
          <w:b/>
        </w:rPr>
      </w:pPr>
      <w:r>
        <w:rPr>
          <w:b/>
        </w:rPr>
        <w:t>Crises oubliées : Haïti</w:t>
      </w:r>
    </w:p>
    <w:p w14:paraId="00000003" w14:textId="77777777" w:rsidR="00156480" w:rsidRDefault="00156480">
      <w:pPr>
        <w:rPr>
          <w:b/>
        </w:rPr>
      </w:pPr>
    </w:p>
    <w:p w14:paraId="00000004" w14:textId="77777777" w:rsidR="00156480" w:rsidRDefault="000136AC">
      <w:pPr>
        <w:rPr>
          <w:b/>
        </w:rPr>
      </w:pPr>
      <w:r>
        <w:rPr>
          <w:b/>
        </w:rPr>
        <w:t>Introduction</w:t>
      </w:r>
    </w:p>
    <w:p w14:paraId="00000005" w14:textId="77777777" w:rsidR="00156480" w:rsidRDefault="000136AC" w:rsidP="00F37680">
      <w:pPr>
        <w:jc w:val="both"/>
      </w:pPr>
      <w:r>
        <w:t>La République d’Haïti partage le territoire l’île d’Hispaniola avec la République dominicaine, dans les Caraïbes.</w:t>
      </w:r>
    </w:p>
    <w:p w14:paraId="00000006" w14:textId="77777777" w:rsidR="00156480" w:rsidRDefault="000136AC" w:rsidP="00F37680">
      <w:pPr>
        <w:jc w:val="both"/>
      </w:pPr>
      <w:r>
        <w:t xml:space="preserve">Le pays est depuis longtemps plongé dans une crise profonde à la fois politique, sécuritaire, humanitaire, économique et sanitaire. </w:t>
      </w:r>
      <w:proofErr w:type="spellStart"/>
      <w:r>
        <w:t>Etat</w:t>
      </w:r>
      <w:proofErr w:type="spellEnd"/>
      <w:r>
        <w:t xml:space="preserve"> le plus pauvre de la région et l'un des plus pauvres au monde, Haïti connaît une criminalité importante et les gangs contrôlent aujourd’hui la plus grande partie de la capitale, Port-au-Prince</w:t>
      </w:r>
      <w:r>
        <w:rPr>
          <w:vertAlign w:val="superscript"/>
        </w:rPr>
        <w:footnoteReference w:id="1"/>
      </w:r>
      <w:r>
        <w:t>. En 2024, ils tué plus de 5600 personnes en 2024 et déplacé plus de 700 000 habitants</w:t>
      </w:r>
      <w:r>
        <w:rPr>
          <w:vertAlign w:val="superscript"/>
        </w:rPr>
        <w:footnoteReference w:id="2"/>
      </w:r>
      <w:r>
        <w:t>. Parallèlement, 5.4 millions d’habitants - près de la moitié de la population - souffrent de la faim et près de 35 000 cas de choléra sont recensés au 20 juin 2024</w:t>
      </w:r>
      <w:r>
        <w:rPr>
          <w:vertAlign w:val="superscript"/>
        </w:rPr>
        <w:footnoteReference w:id="3"/>
      </w:r>
      <w:r>
        <w:t>. Enfin, le pays est régulièrement exposé aux catastrophes naturelles, dont le séisme de 2010 qui a laissé de graves séquelles.</w:t>
      </w:r>
    </w:p>
    <w:p w14:paraId="00000007" w14:textId="2A20898A" w:rsidR="00156480" w:rsidRDefault="000136AC" w:rsidP="00F37680">
      <w:pPr>
        <w:jc w:val="both"/>
      </w:pPr>
      <w:r>
        <w:t xml:space="preserve">Haïti a une population (11,7 millions) et une superficie (27 560 km2) similaires à la Belgique mais un PIB 30 fois moindre (19,85 milliards de dollars). Comment expliquer le sous-développement chronique du pays ? Certes, la mauvaise gestion de l’île et la corruption sont réelles, mais </w:t>
      </w:r>
      <w:r w:rsidR="00F37680">
        <w:t>la crise pluridimensionnelle et à la misère persistante qu’endure Haïti</w:t>
      </w:r>
      <w:r w:rsidR="00F37680">
        <w:t xml:space="preserve"> sont aussi très largement le fait d</w:t>
      </w:r>
      <w:r>
        <w:t>es ingérences extérieures</w:t>
      </w:r>
      <w:r w:rsidR="00F37680">
        <w:t xml:space="preserve">. </w:t>
      </w:r>
      <w:r>
        <w:t>Un retour sur l’histoire du pays, y compris sur le rôle joué par l’ONU, s’impose pour saisir toute la complexité de la situation et tenter d’expliquer comment les gangs en sont arrivés à contrôler le pays.</w:t>
      </w:r>
      <w:r w:rsidR="00F37680">
        <w:t xml:space="preserve"> </w:t>
      </w:r>
    </w:p>
    <w:p w14:paraId="00000008" w14:textId="77777777" w:rsidR="00156480" w:rsidRDefault="000136AC" w:rsidP="00F37680">
      <w:pPr>
        <w:jc w:val="both"/>
        <w:rPr>
          <w:b/>
        </w:rPr>
      </w:pPr>
      <w:r>
        <w:rPr>
          <w:b/>
        </w:rPr>
        <w:t>Révolution haïtienne et « double dette »</w:t>
      </w:r>
    </w:p>
    <w:p w14:paraId="00000009" w14:textId="676AD660" w:rsidR="00156480" w:rsidRDefault="000136AC" w:rsidP="00F37680">
      <w:pPr>
        <w:jc w:val="both"/>
      </w:pPr>
      <w:r>
        <w:t>Dès le XVIIème siècle, la France établit la colonie de Saint-Domingue sur la partie occidentale de l’île d’</w:t>
      </w:r>
      <w:proofErr w:type="spellStart"/>
      <w:r>
        <w:t>Ayiti</w:t>
      </w:r>
      <w:proofErr w:type="spellEnd"/>
      <w:r>
        <w:t>. Des centaines de milliers d’esclaves africains y sont e</w:t>
      </w:r>
      <w:r w:rsidR="00F37680">
        <w:t>xploités</w:t>
      </w:r>
      <w:r w:rsidR="00195ACB">
        <w:t xml:space="preserve"> pour </w:t>
      </w:r>
      <w:r>
        <w:t>la production de denrées coloniales.</w:t>
      </w:r>
      <w:r>
        <w:t xml:space="preserve"> Le pays est alors surnommé la perle des Antilles pour sa beauté et sa prospérité économique.</w:t>
      </w:r>
      <w:r w:rsidR="00F37680">
        <w:t xml:space="preserve"> </w:t>
      </w:r>
    </w:p>
    <w:p w14:paraId="0000000A" w14:textId="77777777" w:rsidR="00156480" w:rsidRDefault="000136AC" w:rsidP="00F37680">
      <w:pPr>
        <w:jc w:val="both"/>
      </w:pPr>
      <w:r>
        <w:t>En 1791,  le peuple haïtien, mené par Toussaint Louverture, se soulève face aux 25 000 hommes de l’armée napoléonienne</w:t>
      </w:r>
      <w:r>
        <w:rPr>
          <w:vertAlign w:val="superscript"/>
        </w:rPr>
        <w:footnoteReference w:id="4"/>
      </w:r>
      <w:r>
        <w:t>. Le 1</w:t>
      </w:r>
      <w:r>
        <w:rPr>
          <w:vertAlign w:val="superscript"/>
        </w:rPr>
        <w:t>er</w:t>
      </w:r>
      <w:r>
        <w:t xml:space="preserve"> janvier 1804, les Haïtiens proclament leur indépendance, devenant ainsi la première nation issue d’une révolte d’esclaves et la plus ancienne république noire au monde</w:t>
      </w:r>
      <w:r>
        <w:rPr>
          <w:vertAlign w:val="superscript"/>
        </w:rPr>
        <w:footnoteReference w:id="5"/>
      </w:r>
      <w:r>
        <w:t>.</w:t>
      </w:r>
    </w:p>
    <w:p w14:paraId="0000000B" w14:textId="77777777" w:rsidR="00156480" w:rsidRDefault="000136AC" w:rsidP="00F37680">
      <w:pPr>
        <w:jc w:val="both"/>
      </w:pPr>
      <w:r>
        <w:t>Fait moins connu, en 1825, la France envoie des navires de guerre et impose un ultimatum : sous peine de guerre, Haïti, se voit obligé de verser une indemnité de 150 millions de francs, en échange de la reconnaissance de son indépendance. En outre, Haïti ne pourra emprunter à cet effet, qu’auprès de banques françaises – c’est le fardeau de la « Double Dette ». Haïti s’acquittera de sa dette en payant les derniers intérêts en 1947</w:t>
      </w:r>
      <w:r>
        <w:rPr>
          <w:vertAlign w:val="superscript"/>
        </w:rPr>
        <w:footnoteReference w:id="6"/>
      </w:r>
      <w:r>
        <w:t>, ayant versé en tout à la France un montant d’une valeur correspondant à 560 millions de dollars en valeur actualisée. </w:t>
      </w:r>
    </w:p>
    <w:p w14:paraId="0000000C" w14:textId="77777777" w:rsidR="00156480" w:rsidRDefault="000136AC" w:rsidP="00F37680">
      <w:pPr>
        <w:jc w:val="both"/>
      </w:pPr>
      <w:r>
        <w:t>Cette dette a lourdement pesé sur des générations, détournant des ressources qui auraient pu être investies dans l’éducation, les infrastructures et le développement économique</w:t>
      </w:r>
      <w:r>
        <w:rPr>
          <w:vertAlign w:val="superscript"/>
        </w:rPr>
        <w:footnoteReference w:id="7"/>
      </w:r>
      <w:r>
        <w:t>. Les paiements à la France auraient coûté à Haïti entre 21 et 115 milliards de dollars en perte de croissance économique sur la longue durée, soit jusqu’à huit fois la taille de l’économie entière d’Haïti en 2020. Entre 1915 et 1934, le pays est occupé par les Etats-Unis qui captent les flux de richesse produite ; cette période est marquée par le travail forcé, la torture, la famine et l’exécution d’un grand nombre de Haïtiens.</w:t>
      </w:r>
    </w:p>
    <w:p w14:paraId="0000000D" w14:textId="77777777" w:rsidR="00156480" w:rsidRDefault="000136AC" w:rsidP="00F37680">
      <w:pPr>
        <w:jc w:val="both"/>
        <w:rPr>
          <w:b/>
        </w:rPr>
      </w:pPr>
      <w:r>
        <w:rPr>
          <w:b/>
        </w:rPr>
        <w:t xml:space="preserve">La dictature et la naissance des gangs </w:t>
      </w:r>
    </w:p>
    <w:p w14:paraId="0000000E" w14:textId="77777777" w:rsidR="00156480" w:rsidRDefault="000136AC" w:rsidP="00F37680">
      <w:pPr>
        <w:jc w:val="both"/>
      </w:pPr>
      <w:r>
        <w:t>De nombreux coups d’</w:t>
      </w:r>
      <w:proofErr w:type="spellStart"/>
      <w:r>
        <w:t>Etat</w:t>
      </w:r>
      <w:proofErr w:type="spellEnd"/>
      <w:r>
        <w:t xml:space="preserve"> marquent l’histoire d’Haïti et plongent le pays dans l’instabilité politique. La corruption est profondément ancrée et les pots-de-vin sont monnaie courante. Après le remboursement de la dette en 1947, et l’accession au pouvoir de François Duvalier, les espoirs d’un avenir meilleur sont rapidement déçus. Ce dernier met en place une dictature brutale et sanguinaire, les violences se multiplient. Son fils lui succède et le pays continue de s’enfoncer dans la misère, les Duvalier détournant à leur profit </w:t>
      </w:r>
      <w:r>
        <w:t>des millions de dollars</w:t>
      </w:r>
      <w:r>
        <w:rPr>
          <w:vertAlign w:val="superscript"/>
        </w:rPr>
        <w:footnoteReference w:id="8"/>
      </w:r>
      <w:r>
        <w:t>. Leur dictature s’appuie appuyée sur des gangs armés, dans un contexte de grande fragilité institutionnelle et économique. En 1959, François Duvalier crée le premier groupe paramilitaire, dénommé « Tontons Macoutes », pour le protéger d’un potentiel coup d’</w:t>
      </w:r>
      <w:proofErr w:type="spellStart"/>
      <w:r>
        <w:t>Etat</w:t>
      </w:r>
      <w:proofErr w:type="spellEnd"/>
      <w:r>
        <w:t xml:space="preserve"> de l’armée et pour éliminer ses opposants politiques. Deux ans après leur création, les Macoutes sont deux fois plus nombreux que les soldats de l’armée régulière.. </w:t>
      </w:r>
    </w:p>
    <w:p w14:paraId="0000000F" w14:textId="77777777" w:rsidR="00156480" w:rsidRDefault="000136AC" w:rsidP="00F37680">
      <w:pPr>
        <w:jc w:val="both"/>
      </w:pPr>
      <w:r>
        <w:t>La chute du duvaliérisme en 1986 fait naître des espoirs de démocratie. Mais en 1991, le président Jean-Bertrand Aristide est renversé par un coup d’</w:t>
      </w:r>
      <w:proofErr w:type="spellStart"/>
      <w:r>
        <w:t>Etat</w:t>
      </w:r>
      <w:proofErr w:type="spellEnd"/>
      <w:r>
        <w:t xml:space="preserve"> militaire, fomenté en partie par d’anciens membres des Macoutes. Cela débouche sur aboutit à une autre invasion américaine “pour la restauration de la démocratie” aux côtés de la Mission des Nations Unies en Haïti (MINUHA), en 1994, pour rétablir le président, renforcer la police et désarmer les groupes armés, créés par d’anciens membres des Macoutes, qui commettent  extorsions de fonds et assassinats politiques</w:t>
      </w:r>
      <w:r>
        <w:rPr>
          <w:vertAlign w:val="superscript"/>
        </w:rPr>
        <w:footnoteReference w:id="9"/>
      </w:r>
      <w:r>
        <w:t>. Aristide retrouve le pouvoir entre 1994 et 1996, puis entre 2001 et 2004. Mais ces groupes armés continuent d’agir et constituent la base des gangs organisés d’aujourd’hui.</w:t>
      </w:r>
    </w:p>
    <w:p w14:paraId="00000010" w14:textId="77777777" w:rsidR="00156480" w:rsidRDefault="000136AC" w:rsidP="00F37680">
      <w:pPr>
        <w:jc w:val="both"/>
        <w:rPr>
          <w:b/>
        </w:rPr>
      </w:pPr>
      <w:r>
        <w:rPr>
          <w:b/>
        </w:rPr>
        <w:t>Un pays gangrené par la violence et les gangs</w:t>
      </w:r>
    </w:p>
    <w:p w14:paraId="00000011" w14:textId="77777777" w:rsidR="00156480" w:rsidRDefault="000136AC" w:rsidP="00F37680">
      <w:pPr>
        <w:jc w:val="both"/>
      </w:pPr>
      <w:r>
        <w:t>Le vide institutionnel et la succession de crises que connaît le pays dans les années 2000 favorisent le développement des groupes armés. Le bilan humain du terrible séisme de 2010 est catastrophique : 230 000 morts, 300 000 blessés et 1,5 million de déplacés</w:t>
      </w:r>
      <w:r>
        <w:rPr>
          <w:vertAlign w:val="superscript"/>
        </w:rPr>
        <w:footnoteReference w:id="10"/>
      </w:r>
      <w:r>
        <w:rPr>
          <w:vertAlign w:val="superscript"/>
        </w:rPr>
        <w:t>)</w:t>
      </w:r>
      <w:r>
        <w:t>. Des milliers de condamnés s’évadent de prison, semant le chaos, la reconstruction du pays est entravée par les problèmes politiques internes, la corruption et la fragilité de l'État</w:t>
      </w:r>
      <w:r>
        <w:rPr>
          <w:vertAlign w:val="superscript"/>
        </w:rPr>
        <w:footnoteReference w:id="11"/>
      </w:r>
      <w:r>
        <w:t>. Ce contexte permet à nouveau aux gangs de se développer et d’agir en toute impunité. </w:t>
      </w:r>
    </w:p>
    <w:p w14:paraId="00000012" w14:textId="77777777" w:rsidR="00156480" w:rsidRDefault="000136AC" w:rsidP="00F37680">
      <w:pPr>
        <w:jc w:val="both"/>
      </w:pPr>
      <w:r>
        <w:t xml:space="preserve">Actuellement, on estime qu’une centaine de groupes se partagent les 2/3 du territoire national et 80% de la capitale, les deux plus influents étant Chen </w:t>
      </w:r>
      <w:proofErr w:type="spellStart"/>
      <w:r>
        <w:t>Mechan</w:t>
      </w:r>
      <w:proofErr w:type="spellEnd"/>
      <w:r>
        <w:t xml:space="preserve"> et 400 </w:t>
      </w:r>
      <w:proofErr w:type="spellStart"/>
      <w:r>
        <w:t>Mawozo</w:t>
      </w:r>
      <w:proofErr w:type="spellEnd"/>
      <w:r>
        <w:t>. A Port-au-Prince, des barrages tenus par des individus armés entravent les circulations sécurisées vers le reste du pays. Les gangs rackettent, kidnappent et rançonnent des citoyens haïtiens et étrangers et participent au trafic d’armes et de drogue</w:t>
      </w:r>
      <w:r>
        <w:rPr>
          <w:vertAlign w:val="superscript"/>
        </w:rPr>
        <w:footnoteReference w:id="12"/>
      </w:r>
      <w:r>
        <w:t>. L’argent sert à acheter des armes, souvent importées illégalement des Etats-Unis. Dans la capitale, des gangs pratiquent la politique de la terre brûlée – détruisant les quartiers de leurs rivaux – et tuent, blessent, violent ou enlèvent des citoyens</w:t>
      </w:r>
      <w:r>
        <w:rPr>
          <w:vertAlign w:val="superscript"/>
        </w:rPr>
        <w:footnoteReference w:id="13"/>
      </w:r>
      <w:r>
        <w:t>. Les résidents sont contraints de rester reclus ou de fuir leur logement. Selon l’ONU, les violences ont causé la déscolarisation de plus de 500 000 enfants.</w:t>
      </w:r>
    </w:p>
    <w:p w14:paraId="00000013" w14:textId="77777777" w:rsidR="00156480" w:rsidRDefault="000136AC" w:rsidP="00F37680">
      <w:pPr>
        <w:jc w:val="both"/>
      </w:pPr>
      <w:r>
        <w:t>Les forces de l'ordre sont débordées, face aux  gangs dont la puissance de feu est sans doute supérieure à celle de la police et de l'armée réunies. Cependant, des experts pointent des liens de plus en plus étroits entre les gangs et les plus hautes instances de la police et du gouvernement, qui leur fournissent fonds et matériel,  pour maintenir leur emprise sur certaines zones du pays. Certains chefs de gangs offrent une protection aux habitants de leur territoire à condition qu'ils se soumettent à leur a</w:t>
      </w:r>
      <w:r>
        <w:t xml:space="preserve">utorité, et sont parfois perçus comme des bienfaiteurs par la population. Le chef très connu du gang G9 , Jimmy </w:t>
      </w:r>
      <w:proofErr w:type="spellStart"/>
      <w:r>
        <w:t>Cherizier</w:t>
      </w:r>
      <w:proofErr w:type="spellEnd"/>
      <w:r>
        <w:t>, alias "Barbecue", lui-même issu de la police, s’impose comme un véritable chef d'État sur son territoire</w:t>
      </w:r>
      <w:r>
        <w:rPr>
          <w:vertAlign w:val="superscript"/>
        </w:rPr>
        <w:footnoteReference w:id="14"/>
      </w:r>
      <w:r>
        <w:t>.</w:t>
      </w:r>
    </w:p>
    <w:p w14:paraId="00000014" w14:textId="77777777" w:rsidR="00156480" w:rsidRDefault="000136AC" w:rsidP="00F37680">
      <w:pPr>
        <w:jc w:val="both"/>
        <w:rPr>
          <w:b/>
        </w:rPr>
      </w:pPr>
      <w:r>
        <w:rPr>
          <w:b/>
        </w:rPr>
        <w:t>Le rôle de l’ONU</w:t>
      </w:r>
    </w:p>
    <w:p w14:paraId="00000015" w14:textId="77777777" w:rsidR="00156480" w:rsidRDefault="000136AC" w:rsidP="00F37680">
      <w:pPr>
        <w:jc w:val="both"/>
      </w:pPr>
      <w:r>
        <w:t xml:space="preserve">Suite au départ du président Jean-Bertrand Aristide, et face à la profonde instabilité du pays, le Conseil de Sécurité des Nations Unies vote la Résolution 1542, qui met en place la Mission des Nations Unies pour la Stabilisation en Haïti (MINUSTAH). Cette dénomination renvoie à une multitude d’activités coordonnées par les forces militaires onusiennes ainsi que les différentes agences (PNUD ; OIM ; UNICEF ; UNHCR). Elle se distingue des opérations précédentes de l’ONU en Haïti par son approche holistique, </w:t>
      </w:r>
      <w:r>
        <w:t>tout en maintenant un objectif spécifique de sécurité et de droits de l’homme, au cœur de la résolution 1542</w:t>
      </w:r>
      <w:r>
        <w:rPr>
          <w:vertAlign w:val="superscript"/>
        </w:rPr>
        <w:footnoteReference w:id="15"/>
      </w:r>
      <w:r>
        <w:t xml:space="preserve">. Déployée de 2004 à 2017 , la MINUSTAH aura été l’une des opérations les plus importantes de l’ONU, avec un coût un total de 4,5 milliards de dollars, un pic de 8744 militaires et 3240 policiers en 2010-2011, et, pour cette </w:t>
      </w:r>
      <w:proofErr w:type="spellStart"/>
      <w:r>
        <w:t>année là</w:t>
      </w:r>
      <w:proofErr w:type="spellEnd"/>
      <w:r>
        <w:t>, un budget de plus de 850 millions de dollars, soit 50% des dépenses publiques du gouvernement haïtien et 10,7% du PIB</w:t>
      </w:r>
      <w:r>
        <w:rPr>
          <w:vertAlign w:val="superscript"/>
        </w:rPr>
        <w:footnoteReference w:id="16"/>
      </w:r>
      <w:r>
        <w:t xml:space="preserve">. </w:t>
      </w:r>
    </w:p>
    <w:p w14:paraId="00000016" w14:textId="77777777" w:rsidR="00156480" w:rsidRDefault="000136AC" w:rsidP="00F37680">
      <w:pPr>
        <w:jc w:val="both"/>
      </w:pPr>
      <w:r>
        <w:t>La MINUSTAH combat le crime organisé et permet de reprendre aux gangs armés nombreux quartiers, faisant ainsi chuter les nombres d’homicides et de kidnapping. Sa fonction stabilisatrice consiste également à professionnaliser et augmenter les rangs de la police nationale haïtienne, ainsi qu’à la dépolitiser le plus possible. Leur nombre passera  de 0,4 à 1,3 agents de police pour 1000 habitants (dont 10% de femmes). Elle soutient également les processus législatifs menant aux projets de code pénal, code d’in</w:t>
      </w:r>
      <w:r>
        <w:t>struction criminelle et de loi pénitentiaire</w:t>
      </w:r>
      <w:r>
        <w:rPr>
          <w:vertAlign w:val="superscript"/>
        </w:rPr>
        <w:footnoteReference w:id="17"/>
      </w:r>
      <w:r>
        <w:t>.</w:t>
      </w:r>
    </w:p>
    <w:p w14:paraId="00000017" w14:textId="4332F614" w:rsidR="00156480" w:rsidRDefault="000136AC" w:rsidP="00F37680">
      <w:pPr>
        <w:jc w:val="both"/>
      </w:pPr>
      <w:r>
        <w:t>Cependant, les morts violentes de civils, l’épidémie de choléra transmise par un de ses contingents, et l’exploitation sexuelle des Haïtiens ont considérablement terni son image. Les forces onusiennes ont été accusées de faire usage d’une force systématiquement disproportionnée, en recourant à de l’artillerie lourde dans des quartiers densément peuplés. En effet, le commandement brésilien en charge des opération militaires onusiennes, avait choisi</w:t>
      </w:r>
      <w:r>
        <w:t xml:space="preserve"> une approche militarisée, légitimée par la criminalisation de quartiers entiers, comme dans les favelas brésiliennes  Haïti devait ainsi servir de laboratoire aux forces militaires brésiliennes pour convaincre leurs autorités politiques de systématiser cette approche dans les favelas de Rio, alors qu’elle contrevient au principe même d’état de droit</w:t>
      </w:r>
      <w:r>
        <w:rPr>
          <w:vertAlign w:val="superscript"/>
        </w:rPr>
        <w:footnoteReference w:id="18"/>
      </w:r>
      <w:r>
        <w:t xml:space="preserve">. </w:t>
      </w:r>
    </w:p>
    <w:p w14:paraId="00000018" w14:textId="77777777" w:rsidR="00156480" w:rsidRDefault="00156480" w:rsidP="00F37680">
      <w:pPr>
        <w:jc w:val="both"/>
      </w:pPr>
    </w:p>
    <w:p w14:paraId="00000019" w14:textId="77777777" w:rsidR="00156480" w:rsidRDefault="000136AC" w:rsidP="00F37680">
      <w:pPr>
        <w:jc w:val="both"/>
      </w:pPr>
      <w:r>
        <w:t>La deuxième controverse majeure concerne le rôle de la MINUSTAH dans l’épidémie de choléra qui suivit le terrible tremblement de terre de 2010. Entre 2010 et 2022, le pays enregistre plus de 820 000 cas et 10 000 décès causés par cette maladie, qui n’y avait jamais été introduite auparavant. Les casques bleus népalais, pourtant originaires d’une ville frappée par une épidémie, n’avaient pas été testés pour le choléra, mais n’avaient pas non plus mis en place de mesures sanitaires destinées à en freiner la p</w:t>
      </w:r>
      <w:r>
        <w:t xml:space="preserve">ropagation. Leurs eaux usées, directement rejetées dans les rivières, ont contaminé des habitants. Pendant des années, les conclusions des rapports de l’ONU éviteront  de pointer sa responsabilité directe </w:t>
      </w:r>
      <w:r>
        <w:rPr>
          <w:vertAlign w:val="superscript"/>
        </w:rPr>
        <w:footnoteReference w:id="19"/>
      </w:r>
      <w:r>
        <w:t>. Il faut attendre 2016 pour que le Secrétaire général Ban Ki-moon s’excuse brièvement auprès de la population haïtienne et accepte la responsabilité morale de l’ONU, mais non sa responsabilité légale. La bataille scientifique laissa ainsi place à celle portant sur la responsabilité des Nations Unies, devant les cours internationales. Il est pertinent de souligner la complexité de ce débat : l’ONU peut-elle être tenue pour responsable de ses actes ? l’ONU jouit de l’immunité de toute forme de juridiction af</w:t>
      </w:r>
      <w:r>
        <w:t>in de préserver son indépendance en tant qu’organisation internationale</w:t>
      </w:r>
      <w:r>
        <w:rPr>
          <w:vertAlign w:val="superscript"/>
        </w:rPr>
        <w:footnoteReference w:id="20"/>
      </w:r>
      <w:r>
        <w:t xml:space="preserve">. Cette immunité est donc destinée à prévenir les attaques politiques sans fondement qui pourraient gêner le travail de l’institution. Or il s’agit dans ce cas de la négligence que cette immunité a favorisée. Bien qu’un nouveau plan de lutte contre le choléra de 400 millions de dollars, financé par les contributions volontaires provenant des excédents de la MINUSTAH soit annoncé en 2016, seuls 21,8 millions ont été réunis en 2021. </w:t>
      </w:r>
    </w:p>
    <w:p w14:paraId="0000001A" w14:textId="77777777" w:rsidR="00156480" w:rsidRDefault="000136AC" w:rsidP="00F37680">
      <w:pPr>
        <w:jc w:val="both"/>
      </w:pPr>
      <w:r>
        <w:t xml:space="preserve">La dernière controverse majeure concerne les accusations de crimes sexuels commis contre la population haïtienne, notamment des mineurs, comme moyen de transaction contre nourriture et médicaments. Ces abus furent rapportés par les « MINUSTAH </w:t>
      </w:r>
      <w:proofErr w:type="spellStart"/>
      <w:r>
        <w:t>Wives</w:t>
      </w:r>
      <w:proofErr w:type="spellEnd"/>
      <w:r>
        <w:t> » dont les enfants ne furent pas reconnus par leur géniteurs, membres des forces onusiennes. Un grand nombre de ces abus ne firent jamais l’objet d’enquêtes approfondies. Si tel était le cas, rares sont les accusés qui en ont subi les conséquences une fois rentrés dans leur pays, et rares sont les victimes à avoir bénéficier d’une compensation ou d’une assistance</w:t>
      </w:r>
      <w:r>
        <w:rPr>
          <w:vertAlign w:val="superscript"/>
        </w:rPr>
        <w:footnoteReference w:id="21"/>
      </w:r>
      <w:r>
        <w:t>. La mission est ainsi l’une de celles ayant compté le plus grand nombre d’accusations d’abus sexuels à l’encontre de son personnel. De plus, les données rapports confidentiels faisant état de ces actes ne sont pas transmis aux enquêteurs. L’ONU n’a jamais tenu le gouvernement haïtien pour responsable de son inaction face aux violations des droits humains. Ces controverses ont renforcé la méfiance de la population vis-à-vis de toute forme d’intervention étrangère.</w:t>
      </w:r>
    </w:p>
    <w:p w14:paraId="0000001B" w14:textId="77777777" w:rsidR="00156480" w:rsidRDefault="000136AC" w:rsidP="00F37680">
      <w:pPr>
        <w:jc w:val="both"/>
        <w:rPr>
          <w:b/>
        </w:rPr>
      </w:pPr>
      <w:r>
        <w:rPr>
          <w:b/>
        </w:rPr>
        <w:t>L’après MINUSTAH</w:t>
      </w:r>
    </w:p>
    <w:p w14:paraId="0000001C" w14:textId="77777777" w:rsidR="00156480" w:rsidRDefault="000136AC" w:rsidP="00F37680">
      <w:pPr>
        <w:jc w:val="both"/>
      </w:pPr>
      <w:r>
        <w:t xml:space="preserve">Le départ des forces onusiennes en 2017 laisse un pays et un régime bénéficiant d’un soutien international, une armée reconstituée, une opposition divisée, et des  gangs sont toujours présents. La police est désormais une institution professionnalisée grâce à leur formation par la MINUSTAH, ce qui réduit les risques de son utilisation comme outil répressif. Cependant, Haïti n’est jamais parvenu à consolider son processus démocratique. </w:t>
      </w:r>
    </w:p>
    <w:p w14:paraId="0000001D" w14:textId="77777777" w:rsidR="00156480" w:rsidRDefault="000136AC" w:rsidP="00F37680">
      <w:pPr>
        <w:jc w:val="both"/>
      </w:pPr>
      <w:r>
        <w:t xml:space="preserve">L’assassinat du président </w:t>
      </w:r>
      <w:proofErr w:type="spellStart"/>
      <w:r>
        <w:t>Jovenel</w:t>
      </w:r>
      <w:proofErr w:type="spellEnd"/>
      <w:r>
        <w:t xml:space="preserve"> Moise, en 2021, aggrave l’instabilité, que connaît  le pays encore à ce jour. Son premier ministre, Ariel Henry, n’ayant pas prêté serment et les législateurs arrivant en fin de mandat, ils ne sont pas en mesure désigner un remplaçant pour assurer l’</w:t>
      </w:r>
      <w:proofErr w:type="spellStart"/>
      <w:r>
        <w:t>intérim.Un</w:t>
      </w:r>
      <w:proofErr w:type="spellEnd"/>
      <w:r>
        <w:t xml:space="preserve"> accord politique conclu en décembre 2022 prévoit de nouvelles élections en 2023, l’investiture d’un nouveau président en février 2024 et la mise sur pied d’un Haut Conseil de Transition (HCT).  Hormis pour  le HCT, l’accord ne sera pas mis en </w:t>
      </w:r>
      <w:r>
        <w:t>œuvre. Le Premier Ministre se maintient au-delà de son mandat. Des manifestations contre le gouvernement ont lieu dans tout le pays, en partie encouragées par des figures populistes et d’opposition. Le blocage politique empêche toute réponse à la crise sécuritaire et humanitaire liée à la violence des gangs, aux pénuries de nourriture et de carburant ainsi qu’au retour du choléra</w:t>
      </w:r>
      <w:r>
        <w:rPr>
          <w:vertAlign w:val="superscript"/>
        </w:rPr>
        <w:footnoteReference w:id="22"/>
      </w:r>
      <w:r>
        <w:t xml:space="preserve">. Les appels à la démission du premier ministre se multiplient. </w:t>
      </w:r>
    </w:p>
    <w:p w14:paraId="0000001E" w14:textId="77777777" w:rsidR="00156480" w:rsidRDefault="000136AC" w:rsidP="00F37680">
      <w:pPr>
        <w:jc w:val="both"/>
      </w:pPr>
      <w:r>
        <w:t>À la requête de Ariel Henry, le Conseil de Sécurité de l’ONU vote la Résolution 2699 en octobre 2023. Elle autorise le déploiement de la Multinational Security Support Mission (MSSM) en Haïti, pour soutenir opérationnellement la Police Nationale Haïtienne contre les gangs, sécuriser les infrastructures principales et s’assurer du passage de l’aide humanitaire. Cette mission n’est pas menée par l’ONU et est financée par des contributions volontaires. Le Kenya s’est porté volontaire pour la mener avec un dépl</w:t>
      </w:r>
      <w:r>
        <w:t xml:space="preserve">oiement de 1000 agents de police, espérant 1500 agents supplémentaires issus de contingents d’autres contributeurs. Cette initiative fut cependant contrecarrée par la Haute Cour de Justice kényane pour des raisons de procédure. </w:t>
      </w:r>
    </w:p>
    <w:p w14:paraId="0000001F" w14:textId="77777777" w:rsidR="00156480" w:rsidRDefault="000136AC" w:rsidP="00F37680">
      <w:pPr>
        <w:jc w:val="both"/>
      </w:pPr>
      <w:r>
        <w:t>Face aux appels nationaux et internationaux à la démission du premier ministre, le gouvernement kényan conditionne le déploiement de son contingent au départ de Henry. Ce dernier finit par se résigner le 11 mars 2024</w:t>
      </w:r>
      <w:r>
        <w:rPr>
          <w:vertAlign w:val="superscript"/>
        </w:rPr>
        <w:footnoteReference w:id="23"/>
      </w:r>
      <w:r>
        <w:t>. Un Haut Conseil de transition (HCT ) est mis en place.</w:t>
      </w:r>
    </w:p>
    <w:p w14:paraId="00000020" w14:textId="77777777" w:rsidR="00156480" w:rsidRDefault="000136AC" w:rsidP="00F37680">
      <w:pPr>
        <w:jc w:val="both"/>
      </w:pPr>
      <w:r>
        <w:t>Trois défis pour la MSSM. Tout d’abord, son financement, par des contributions volontaires, n’est durablement assuré. Sur les 600 millions de dollars annuels nécessaires, 400 ont pour l’instant été réunis. Ensuite, la mission se distingue en principe des précédentes par l’inclusion de la société civile dans la conduite de ses activités. Mais  la fragmentation de la société haïtienne empêche celle-ci de s’exprimer d’une seule voix. Enfin, la mission hérite de la réputation très contrastée de celle qui l’a pr</w:t>
      </w:r>
      <w:r>
        <w:t>écédée, et donc de la méfiance de la population.</w:t>
      </w:r>
    </w:p>
    <w:p w14:paraId="00000021" w14:textId="77777777" w:rsidR="00156480" w:rsidRDefault="000136AC" w:rsidP="00F37680">
      <w:pPr>
        <w:jc w:val="both"/>
      </w:pPr>
      <w:r>
        <w:t>Lors des négociations au Conseil de sécurité sur le renouvellement du mandat septembre 2024, le HCT a souhaité qu’elle devienne une mission formelle de maintien de la paix, menée par l’ONU, notamment en raison des problèmes de financement.  Des modèles alternatifs, dans lesquels l’ONU fournirait un soutien logistique à la mission sans en changer la nature</w:t>
      </w:r>
      <w:r>
        <w:rPr>
          <w:vertAlign w:val="superscript"/>
        </w:rPr>
        <w:footnoteReference w:id="24"/>
      </w:r>
      <w:r>
        <w:rPr>
          <w:vertAlign w:val="superscript"/>
        </w:rPr>
        <w:t xml:space="preserve">, </w:t>
      </w:r>
      <w:r>
        <w:t xml:space="preserve"> ont également été évoqués.  Ces discussions s’inscrivent dans un contexte plus large de redéfinition du maintien de la paix, et d’exploration de nouveaux modèles pour répondre aux enjeux sécuritaires actuels</w:t>
      </w:r>
      <w:r>
        <w:rPr>
          <w:vertAlign w:val="superscript"/>
        </w:rPr>
        <w:footnoteReference w:id="25"/>
      </w:r>
      <w:r>
        <w:t>.</w:t>
      </w:r>
    </w:p>
    <w:p w14:paraId="00000022" w14:textId="77777777" w:rsidR="00156480" w:rsidRDefault="000136AC" w:rsidP="00F37680">
      <w:pPr>
        <w:jc w:val="both"/>
      </w:pPr>
      <w:r>
        <w:t>Après le départ de Ariel Henry, le Conseil présidentiel de la Transition (CPT) a remplacé le HCT. Les autorités haïtiennes étatiques ont pris l’engagement d’organiser des élections générales en 2025, les premières depuis 2016, avant que n’arrive à échéance le mandat du CPT le 7 février 2026. Enfin, le pays est toujours sans députés depuis 2020</w:t>
      </w:r>
      <w:r>
        <w:rPr>
          <w:vertAlign w:val="superscript"/>
        </w:rPr>
        <w:footnoteReference w:id="26"/>
      </w:r>
      <w:r>
        <w:t xml:space="preserve">. </w:t>
      </w:r>
    </w:p>
    <w:p w14:paraId="00000023" w14:textId="77777777" w:rsidR="00156480" w:rsidRDefault="000136AC" w:rsidP="00F37680">
      <w:pPr>
        <w:jc w:val="both"/>
        <w:rPr>
          <w:b/>
        </w:rPr>
      </w:pPr>
      <w:r>
        <w:rPr>
          <w:b/>
        </w:rPr>
        <w:t xml:space="preserve">Derniers développements </w:t>
      </w:r>
    </w:p>
    <w:p w14:paraId="00000024" w14:textId="77777777" w:rsidR="00156480" w:rsidRDefault="000136AC" w:rsidP="00F37680">
      <w:pPr>
        <w:jc w:val="both"/>
      </w:pPr>
      <w:r>
        <w:t xml:space="preserve">Le 22 janvier 2025, le Chancelier (ministres des affaires étrangères) haïtien, Jean-Victor </w:t>
      </w:r>
      <w:proofErr w:type="spellStart"/>
      <w:r>
        <w:t>Harvel</w:t>
      </w:r>
      <w:proofErr w:type="spellEnd"/>
      <w:r>
        <w:t xml:space="preserve"> Jean-Baptiste, a participé à une réunion du Conseil de sécurité de l'ONU sur la crise sociopolitique et sécuritaire en Haïti. Il a salué les progrès de la Police Nationale d’Haïti (PNH), soutenue par la Mission Multinationale de Soutien à la Sécurité (MMSS), tout en appelant à transformer cette mission en opération de maintien de la paix de l’ONU. Insistant sur l’urgence d’agir face aux souffrances de la population, il a exhorté la communauté internationale à intensifier son appui. Les membres du Con</w:t>
      </w:r>
      <w:r>
        <w:t>seil et plusieurs partenaires internationaux, dont la République dominicaine, la Colombie, le Canada et le Kenya, ont exprimé leur soutien à une solution durable pour Haïti</w:t>
      </w:r>
      <w:r>
        <w:rPr>
          <w:vertAlign w:val="superscript"/>
        </w:rPr>
        <w:footnoteReference w:id="27"/>
      </w:r>
      <w:r>
        <w:t>.</w:t>
      </w:r>
    </w:p>
    <w:p w14:paraId="00000025" w14:textId="77777777" w:rsidR="00156480" w:rsidRDefault="000136AC" w:rsidP="00F37680">
      <w:pPr>
        <w:jc w:val="both"/>
      </w:pPr>
      <w:r>
        <w:t>Le Secrétaire général de l’ONU, António Guterres, a alerté sur le risque d’un effondrement total de l’autorité étatique à Port-au-Prince si un soutien international accru n’est pas apporté à la police nationale haïtienne. Lors d’un rapport présenté au Conseil de sécurité, il a averti que des retards supplémentaires dans le renforcement de la force multinationale dirigée par le Kenya pourraient permettre aux gangs de prendre le contrôle de la capitale. Actuellement, la force compte environ 600 agents, bien e</w:t>
      </w:r>
      <w:r>
        <w:t>n deçà des 2 500 prévus. Guterres a appelé à une action urgente pour éviter une telle catastrophe</w:t>
      </w:r>
      <w:r>
        <w:rPr>
          <w:vertAlign w:val="superscript"/>
        </w:rPr>
        <w:footnoteReference w:id="28"/>
      </w:r>
      <w:r>
        <w:t>.</w:t>
      </w:r>
    </w:p>
    <w:p w14:paraId="00000026" w14:textId="77777777" w:rsidR="00156480" w:rsidRDefault="00156480" w:rsidP="00F37680">
      <w:pPr>
        <w:jc w:val="both"/>
      </w:pPr>
    </w:p>
    <w:p w14:paraId="00000027" w14:textId="77777777" w:rsidR="00156480" w:rsidRDefault="00156480" w:rsidP="00F37680">
      <w:pPr>
        <w:jc w:val="both"/>
      </w:pPr>
    </w:p>
    <w:sectPr w:rsidR="00156480">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616C3" w14:textId="77777777" w:rsidR="000136AC" w:rsidRDefault="000136AC">
      <w:pPr>
        <w:spacing w:after="0" w:line="240" w:lineRule="auto"/>
      </w:pPr>
      <w:r>
        <w:separator/>
      </w:r>
    </w:p>
  </w:endnote>
  <w:endnote w:type="continuationSeparator" w:id="0">
    <w:p w14:paraId="0AE4CFBB" w14:textId="77777777" w:rsidR="000136AC" w:rsidRDefault="00013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8493EA65-43FC-844D-9BAD-16054D0A91B8}"/>
    <w:embedBold r:id="rId2" w:fontKey="{D41FF46D-055D-6F4B-A403-F8B32480693B}"/>
    <w:embedItalic r:id="rId3" w:fontKey="{9DD3EB1F-91D1-FD4C-9EE1-A2B1DAA76ECC}"/>
  </w:font>
  <w:font w:name="Aptos Display">
    <w:panose1 w:val="020B0004020202020204"/>
    <w:charset w:val="00"/>
    <w:family w:val="swiss"/>
    <w:pitch w:val="variable"/>
    <w:sig w:usb0="20000287" w:usb1="00000003" w:usb2="00000000" w:usb3="00000000" w:csb0="0000019F" w:csb1="00000000"/>
    <w:embedRegular r:id="rId4" w:fontKey="{F20AC011-1CA9-B542-BB15-2CD5BE843064}"/>
  </w:font>
  <w:font w:name="Times New Roman">
    <w:panose1 w:val="02020603050405020304"/>
    <w:charset w:val="00"/>
    <w:family w:val="roman"/>
    <w:pitch w:val="variable"/>
    <w:sig w:usb0="E0002EFF" w:usb1="C000785B" w:usb2="00000009" w:usb3="00000000" w:csb0="000001FF" w:csb1="00000000"/>
    <w:embedRegular r:id="rId5" w:fontKey="{23338CCB-81E1-B642-96F7-DF8BF1F52AA3}"/>
    <w:embedBold r:id="rId6" w:fontKey="{AC341681-8B43-2647-819D-C4170AF04D23}"/>
    <w:embedItalic r:id="rId7" w:fontKey="{54D47764-A66D-A249-8BA2-E1E272077867}"/>
  </w:font>
  <w:font w:name="Arial">
    <w:panose1 w:val="020B0604020202020204"/>
    <w:charset w:val="00"/>
    <w:family w:val="swiss"/>
    <w:pitch w:val="variable"/>
    <w:sig w:usb0="E0002AFF" w:usb1="C0007843" w:usb2="00000009" w:usb3="00000000" w:csb0="000001FF" w:csb1="00000000"/>
    <w:embedRegular r:id="rId8" w:fontKey="{6F17418A-89CB-F04C-82D8-76BEA6B09D50}"/>
    <w:embedItalic r:id="rId9" w:fontKey="{164423D7-2A21-1542-9E8F-98ABCC57C2B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DB9B3F" w14:textId="77777777" w:rsidR="000136AC" w:rsidRDefault="000136AC">
      <w:pPr>
        <w:spacing w:after="0" w:line="240" w:lineRule="auto"/>
      </w:pPr>
      <w:r>
        <w:separator/>
      </w:r>
    </w:p>
  </w:footnote>
  <w:footnote w:type="continuationSeparator" w:id="0">
    <w:p w14:paraId="52CBA9BC" w14:textId="77777777" w:rsidR="000136AC" w:rsidRDefault="000136AC">
      <w:pPr>
        <w:spacing w:after="0" w:line="240" w:lineRule="auto"/>
      </w:pPr>
      <w:r>
        <w:continuationSeparator/>
      </w:r>
    </w:p>
  </w:footnote>
  <w:footnote w:id="1">
    <w:p w14:paraId="00000028" w14:textId="77777777" w:rsidR="00156480" w:rsidRDefault="000136A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Pascal Boniface, </w:t>
      </w:r>
      <w:r>
        <w:rPr>
          <w:i/>
          <w:color w:val="000000"/>
          <w:sz w:val="20"/>
          <w:szCs w:val="20"/>
        </w:rPr>
        <w:t>Atlas des relations internationales : 100 cartes pour comprendre le monde de 1945 à nos jours</w:t>
      </w:r>
      <w:r>
        <w:rPr>
          <w:color w:val="000000"/>
          <w:sz w:val="20"/>
          <w:szCs w:val="20"/>
        </w:rPr>
        <w:t xml:space="preserve"> (Armand Colin, 2021), p. 132.</w:t>
      </w:r>
    </w:p>
  </w:footnote>
  <w:footnote w:id="2">
    <w:p w14:paraId="00000029" w14:textId="77777777" w:rsidR="00156480" w:rsidRPr="00F37680" w:rsidRDefault="000136AC">
      <w:pPr>
        <w:pBdr>
          <w:top w:val="nil"/>
          <w:left w:val="nil"/>
          <w:bottom w:val="nil"/>
          <w:right w:val="nil"/>
          <w:between w:val="nil"/>
        </w:pBdr>
        <w:spacing w:after="0" w:line="240" w:lineRule="auto"/>
        <w:rPr>
          <w:color w:val="000000"/>
          <w:sz w:val="20"/>
          <w:szCs w:val="20"/>
          <w:lang w:val="en-US"/>
        </w:rPr>
      </w:pPr>
      <w:r>
        <w:rPr>
          <w:vertAlign w:val="superscript"/>
        </w:rPr>
        <w:footnoteRef/>
      </w:r>
      <w:r w:rsidRPr="00F37680">
        <w:rPr>
          <w:color w:val="000000"/>
          <w:sz w:val="20"/>
          <w:szCs w:val="20"/>
          <w:lang w:val="en-US"/>
        </w:rPr>
        <w:t xml:space="preserve"> </w:t>
      </w:r>
      <w:r w:rsidRPr="00F37680">
        <w:rPr>
          <w:color w:val="000000"/>
          <w:sz w:val="20"/>
          <w:szCs w:val="20"/>
          <w:lang w:val="en-US"/>
        </w:rPr>
        <w:t xml:space="preserve">United Nations, At Least 5,601 People Killed in Haiti Violence Since July 2023, UN Says, UN NEWS (Jan. 25,2025), </w:t>
      </w:r>
      <w:hyperlink r:id="rId1" w:anchor=":~:text=Au%20moins%205.601%20personnes%20ont,l'homme%20des%20Nations%20Unies">
        <w:r w:rsidRPr="00F37680">
          <w:rPr>
            <w:color w:val="467886"/>
            <w:sz w:val="20"/>
            <w:szCs w:val="20"/>
            <w:u w:val="single"/>
            <w:lang w:val="en-US"/>
          </w:rPr>
          <w:t>https://news.un.org/fr/story/2025/01/1151896#:~:text=Au%20moins%205.601%20personnes%20ont,l'homme%20des%20Nations%20Unies</w:t>
        </w:r>
      </w:hyperlink>
      <w:r w:rsidRPr="00F37680">
        <w:rPr>
          <w:color w:val="000000"/>
          <w:sz w:val="20"/>
          <w:szCs w:val="20"/>
          <w:lang w:val="en-US"/>
        </w:rPr>
        <w:t>.</w:t>
      </w:r>
    </w:p>
  </w:footnote>
  <w:footnote w:id="3">
    <w:p w14:paraId="0000002A" w14:textId="77777777" w:rsidR="00156480" w:rsidRDefault="000136A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20"/>
          <w:szCs w:val="20"/>
        </w:rPr>
        <w:t xml:space="preserve">Banque mondiale, </w:t>
      </w:r>
      <w:r>
        <w:rPr>
          <w:i/>
          <w:color w:val="000000"/>
          <w:sz w:val="20"/>
          <w:szCs w:val="20"/>
        </w:rPr>
        <w:t>Haïti : Aperçu</w:t>
      </w:r>
      <w:r>
        <w:rPr>
          <w:color w:val="000000"/>
          <w:sz w:val="20"/>
          <w:szCs w:val="20"/>
        </w:rPr>
        <w:t xml:space="preserve"> (2024), </w:t>
      </w:r>
      <w:hyperlink r:id="rId2" w:anchor="1">
        <w:r>
          <w:rPr>
            <w:color w:val="467886"/>
            <w:sz w:val="20"/>
            <w:szCs w:val="20"/>
            <w:u w:val="single"/>
          </w:rPr>
          <w:t>https://www.banquemondiale.org/fr/country/haiti/overview#1</w:t>
        </w:r>
      </w:hyperlink>
    </w:p>
  </w:footnote>
  <w:footnote w:id="4">
    <w:p w14:paraId="0000002B" w14:textId="77777777" w:rsidR="00156480" w:rsidRDefault="000136A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proofErr w:type="spellStart"/>
      <w:r>
        <w:rPr>
          <w:color w:val="000000"/>
          <w:sz w:val="20"/>
          <w:szCs w:val="20"/>
        </w:rPr>
        <w:t>FranceArchives</w:t>
      </w:r>
      <w:proofErr w:type="spellEnd"/>
      <w:r>
        <w:rPr>
          <w:color w:val="000000"/>
          <w:sz w:val="20"/>
          <w:szCs w:val="20"/>
        </w:rPr>
        <w:t xml:space="preserve">, "La guerre d'indépendance d'Haïti et la défaite de Napoléon," </w:t>
      </w:r>
      <w:hyperlink r:id="rId3">
        <w:r>
          <w:rPr>
            <w:color w:val="467886"/>
            <w:sz w:val="20"/>
            <w:szCs w:val="20"/>
            <w:u w:val="single"/>
          </w:rPr>
          <w:t>https://francearchives.gouv.fr/pages_histoire/38647</w:t>
        </w:r>
      </w:hyperlink>
      <w:r>
        <w:rPr>
          <w:color w:val="000000"/>
          <w:sz w:val="20"/>
          <w:szCs w:val="20"/>
        </w:rPr>
        <w:t xml:space="preserve"> (consulté le 24 janvier 2025).</w:t>
      </w:r>
    </w:p>
  </w:footnote>
  <w:footnote w:id="5">
    <w:p w14:paraId="0000002C" w14:textId="77777777" w:rsidR="00156480" w:rsidRDefault="000136A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20"/>
          <w:szCs w:val="20"/>
        </w:rPr>
        <w:t xml:space="preserve">Laënnec </w:t>
      </w:r>
      <w:proofErr w:type="spellStart"/>
      <w:r>
        <w:rPr>
          <w:color w:val="000000"/>
          <w:sz w:val="20"/>
          <w:szCs w:val="20"/>
        </w:rPr>
        <w:t>Hurbon</w:t>
      </w:r>
      <w:proofErr w:type="spellEnd"/>
      <w:r>
        <w:rPr>
          <w:color w:val="000000"/>
          <w:sz w:val="20"/>
          <w:szCs w:val="20"/>
        </w:rPr>
        <w:t xml:space="preserve">, </w:t>
      </w:r>
      <w:r>
        <w:rPr>
          <w:i/>
          <w:color w:val="000000"/>
          <w:sz w:val="20"/>
          <w:szCs w:val="20"/>
        </w:rPr>
        <w:t>La révolution haïtienne : une avancée postcoloniale</w:t>
      </w:r>
      <w:r>
        <w:rPr>
          <w:color w:val="000000"/>
          <w:sz w:val="20"/>
          <w:szCs w:val="20"/>
        </w:rPr>
        <w:t xml:space="preserve">, </w:t>
      </w:r>
      <w:r>
        <w:rPr>
          <w:i/>
          <w:color w:val="000000"/>
          <w:sz w:val="20"/>
          <w:szCs w:val="20"/>
        </w:rPr>
        <w:t>Revue Rue Descartes</w:t>
      </w:r>
      <w:r>
        <w:rPr>
          <w:color w:val="000000"/>
          <w:sz w:val="20"/>
          <w:szCs w:val="20"/>
        </w:rPr>
        <w:t xml:space="preserve">, 2007, no. 4,, </w:t>
      </w:r>
      <w:hyperlink r:id="rId4">
        <w:r>
          <w:rPr>
            <w:color w:val="467886"/>
            <w:sz w:val="20"/>
            <w:szCs w:val="20"/>
            <w:u w:val="single"/>
          </w:rPr>
          <w:t>https://shs.cairn.info/revue-rue-descartes-2007-4-page-56?lang=fr</w:t>
        </w:r>
      </w:hyperlink>
      <w:r>
        <w:rPr>
          <w:color w:val="000000"/>
          <w:sz w:val="20"/>
          <w:szCs w:val="20"/>
        </w:rPr>
        <w:t>, (consulté le 22 janvier 2025).</w:t>
      </w:r>
    </w:p>
  </w:footnote>
  <w:footnote w:id="6">
    <w:p w14:paraId="00000046" w14:textId="77777777" w:rsidR="00156480" w:rsidRDefault="000136AC">
      <w:pPr>
        <w:spacing w:after="0" w:line="240" w:lineRule="auto"/>
        <w:rPr>
          <w:sz w:val="20"/>
          <w:szCs w:val="20"/>
        </w:rPr>
      </w:pPr>
      <w:r>
        <w:rPr>
          <w:vertAlign w:val="superscript"/>
        </w:rPr>
        <w:footnoteRef/>
      </w:r>
      <w:r>
        <w:rPr>
          <w:sz w:val="20"/>
          <w:szCs w:val="20"/>
        </w:rPr>
        <w:t xml:space="preserve"> </w:t>
      </w:r>
      <w:r>
        <w:rPr>
          <w:sz w:val="20"/>
          <w:szCs w:val="20"/>
        </w:rPr>
        <w:t xml:space="preserve">France 24, François Hollande en Haïti esquive l'épineuse question de la dette, </w:t>
      </w:r>
      <w:hyperlink r:id="rId5">
        <w:r>
          <w:rPr>
            <w:color w:val="467886"/>
            <w:sz w:val="20"/>
            <w:szCs w:val="20"/>
            <w:u w:val="single"/>
          </w:rPr>
          <w:t>https://www.france24.com/fr/20150512-francois-hollande-haiti-dette-france-discours-renforcement-systeme-scolaire</w:t>
        </w:r>
      </w:hyperlink>
      <w:r>
        <w:rPr>
          <w:sz w:val="20"/>
          <w:szCs w:val="20"/>
        </w:rPr>
        <w:t xml:space="preserve"> (consulté le 24 janvier 2025).</w:t>
      </w:r>
    </w:p>
  </w:footnote>
  <w:footnote w:id="7">
    <w:p w14:paraId="0000002D" w14:textId="77777777" w:rsidR="00156480" w:rsidRDefault="000136A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20"/>
          <w:szCs w:val="20"/>
        </w:rPr>
        <w:t xml:space="preserve">The New York Times, </w:t>
      </w:r>
      <w:r>
        <w:rPr>
          <w:i/>
          <w:color w:val="000000"/>
          <w:sz w:val="20"/>
          <w:szCs w:val="20"/>
        </w:rPr>
        <w:t>Haïti : quand Aristide a réclamé des réparations à la France</w:t>
      </w:r>
      <w:r>
        <w:rPr>
          <w:color w:val="000000"/>
          <w:sz w:val="20"/>
          <w:szCs w:val="20"/>
        </w:rPr>
        <w:t xml:space="preserve"> (20 mai 2022), disponible sur </w:t>
      </w:r>
      <w:hyperlink r:id="rId6">
        <w:r>
          <w:rPr>
            <w:color w:val="467886"/>
            <w:sz w:val="20"/>
            <w:szCs w:val="20"/>
            <w:u w:val="single"/>
          </w:rPr>
          <w:t>https://www.nytimes.com/fr/2022/05/20/world/haiti-france-reparations-aristide.html</w:t>
        </w:r>
      </w:hyperlink>
      <w:r>
        <w:rPr>
          <w:color w:val="000000"/>
          <w:sz w:val="20"/>
          <w:szCs w:val="20"/>
        </w:rPr>
        <w:t>., (consulté le 27 janvier 2025)</w:t>
      </w:r>
    </w:p>
  </w:footnote>
  <w:footnote w:id="8">
    <w:p w14:paraId="0000002E" w14:textId="77777777" w:rsidR="00156480" w:rsidRDefault="000136A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20"/>
          <w:szCs w:val="20"/>
        </w:rPr>
        <w:t xml:space="preserve">Les Racines du Mal: Près de 30 ans de </w:t>
      </w:r>
      <w:proofErr w:type="spellStart"/>
      <w:r>
        <w:rPr>
          <w:color w:val="000000"/>
          <w:sz w:val="20"/>
          <w:szCs w:val="20"/>
        </w:rPr>
        <w:t>Duvalérisme</w:t>
      </w:r>
      <w:proofErr w:type="spellEnd"/>
      <w:r>
        <w:rPr>
          <w:color w:val="000000"/>
          <w:sz w:val="20"/>
          <w:szCs w:val="20"/>
        </w:rPr>
        <w:t xml:space="preserve"> en Haïti, </w:t>
      </w:r>
      <w:proofErr w:type="spellStart"/>
      <w:r>
        <w:rPr>
          <w:color w:val="000000"/>
          <w:sz w:val="20"/>
          <w:szCs w:val="20"/>
        </w:rPr>
        <w:t>AVocats</w:t>
      </w:r>
      <w:proofErr w:type="spellEnd"/>
      <w:r>
        <w:rPr>
          <w:color w:val="000000"/>
          <w:sz w:val="20"/>
          <w:szCs w:val="20"/>
        </w:rPr>
        <w:t xml:space="preserve"> sans frontières Canada, </w:t>
      </w:r>
      <w:hyperlink r:id="rId7">
        <w:r>
          <w:rPr>
            <w:color w:val="467886"/>
            <w:sz w:val="20"/>
            <w:szCs w:val="20"/>
            <w:u w:val="single"/>
          </w:rPr>
          <w:t>https://asfcanada.ca/medias/les-racines-du-mal-pres-de-30-ans-de-duvalierisme-en-haiti/</w:t>
        </w:r>
      </w:hyperlink>
      <w:r>
        <w:rPr>
          <w:color w:val="000000"/>
          <w:sz w:val="20"/>
          <w:szCs w:val="20"/>
        </w:rPr>
        <w:t>, (consulté le 27 janvier 2025).</w:t>
      </w:r>
    </w:p>
  </w:footnote>
  <w:footnote w:id="9">
    <w:p w14:paraId="0000002F" w14:textId="77777777" w:rsidR="00156480" w:rsidRDefault="000136A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20"/>
          <w:szCs w:val="20"/>
        </w:rPr>
        <w:t xml:space="preserve">Comment les gangs ont pris le contrôle d’Haïti : comprendre en trois minutes, LE MONDE (Oct. 8, 2023), </w:t>
      </w:r>
      <w:hyperlink r:id="rId8">
        <w:r>
          <w:rPr>
            <w:color w:val="467886"/>
            <w:sz w:val="20"/>
            <w:szCs w:val="20"/>
            <w:u w:val="single"/>
          </w:rPr>
          <w:t>https://www.lemonde.fr/comprendre-en-3-minutes/article/2023/10/08/comment-les-gangs-ont-pris-le-controle-d-haiti-comprendre-en-trois-minutes_6193123_6176282.html</w:t>
        </w:r>
      </w:hyperlink>
      <w:r>
        <w:rPr>
          <w:color w:val="000000"/>
          <w:sz w:val="20"/>
          <w:szCs w:val="20"/>
        </w:rPr>
        <w:t>., (consulté le 27 janvier 2025)</w:t>
      </w:r>
    </w:p>
  </w:footnote>
  <w:footnote w:id="10">
    <w:p w14:paraId="00000030" w14:textId="77777777" w:rsidR="00156480" w:rsidRDefault="000136A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20"/>
          <w:szCs w:val="20"/>
        </w:rPr>
        <w:t xml:space="preserve">Bureau de la coordination des affaires humanitaires (OCHA), </w:t>
      </w:r>
      <w:proofErr w:type="spellStart"/>
      <w:r>
        <w:rPr>
          <w:color w:val="000000"/>
          <w:sz w:val="20"/>
          <w:szCs w:val="20"/>
        </w:rPr>
        <w:t>Haiti</w:t>
      </w:r>
      <w:proofErr w:type="spellEnd"/>
      <w:r>
        <w:rPr>
          <w:color w:val="000000"/>
          <w:sz w:val="20"/>
          <w:szCs w:val="20"/>
        </w:rPr>
        <w:t xml:space="preserve"> </w:t>
      </w:r>
      <w:proofErr w:type="spellStart"/>
      <w:r>
        <w:rPr>
          <w:color w:val="000000"/>
          <w:sz w:val="20"/>
          <w:szCs w:val="20"/>
        </w:rPr>
        <w:t>Earthquake</w:t>
      </w:r>
      <w:proofErr w:type="spellEnd"/>
      <w:r>
        <w:rPr>
          <w:color w:val="000000"/>
          <w:sz w:val="20"/>
          <w:szCs w:val="20"/>
        </w:rPr>
        <w:t xml:space="preserve"> Situation Report No. 10 (Jan. 21, 2010), </w:t>
      </w:r>
      <w:hyperlink r:id="rId9">
        <w:r>
          <w:rPr>
            <w:color w:val="467886"/>
            <w:sz w:val="20"/>
            <w:szCs w:val="20"/>
            <w:u w:val="single"/>
          </w:rPr>
          <w:t>https://reliefweb.int/report/haiti/haiti-earthquake-situation-report-10</w:t>
        </w:r>
      </w:hyperlink>
      <w:r>
        <w:rPr>
          <w:color w:val="000000"/>
          <w:sz w:val="20"/>
          <w:szCs w:val="20"/>
        </w:rPr>
        <w:t>, (consulté le 24 janvier 2025)</w:t>
      </w:r>
    </w:p>
  </w:footnote>
  <w:footnote w:id="11">
    <w:p w14:paraId="00000031" w14:textId="77777777" w:rsidR="00156480" w:rsidRDefault="000136A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20"/>
          <w:szCs w:val="20"/>
        </w:rPr>
        <w:t xml:space="preserve">Pascal Boniface, </w:t>
      </w:r>
      <w:r>
        <w:rPr>
          <w:i/>
          <w:color w:val="000000"/>
          <w:sz w:val="20"/>
          <w:szCs w:val="20"/>
        </w:rPr>
        <w:t>Atlas des relations internationales : 100 cartes pour comprendre le monde de 1945 à nos jours</w:t>
      </w:r>
      <w:r>
        <w:rPr>
          <w:color w:val="000000"/>
          <w:sz w:val="20"/>
          <w:szCs w:val="20"/>
        </w:rPr>
        <w:t xml:space="preserve"> (Armand Colin, 2021), p. 132. </w:t>
      </w:r>
    </w:p>
    <w:p w14:paraId="00000032" w14:textId="77777777" w:rsidR="00156480" w:rsidRDefault="00156480">
      <w:pPr>
        <w:pBdr>
          <w:top w:val="nil"/>
          <w:left w:val="nil"/>
          <w:bottom w:val="nil"/>
          <w:right w:val="nil"/>
          <w:between w:val="nil"/>
        </w:pBdr>
        <w:spacing w:after="0" w:line="240" w:lineRule="auto"/>
        <w:rPr>
          <w:color w:val="000000"/>
          <w:sz w:val="20"/>
          <w:szCs w:val="20"/>
        </w:rPr>
      </w:pPr>
    </w:p>
  </w:footnote>
  <w:footnote w:id="12">
    <w:p w14:paraId="00000033" w14:textId="77777777" w:rsidR="00156480" w:rsidRDefault="000136A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20"/>
          <w:szCs w:val="20"/>
        </w:rPr>
        <w:t xml:space="preserve">Alexis </w:t>
      </w:r>
      <w:proofErr w:type="spellStart"/>
      <w:r>
        <w:rPr>
          <w:color w:val="000000"/>
          <w:sz w:val="20"/>
          <w:szCs w:val="20"/>
        </w:rPr>
        <w:t>Bautzmann</w:t>
      </w:r>
      <w:proofErr w:type="spellEnd"/>
      <w:r>
        <w:rPr>
          <w:color w:val="000000"/>
          <w:sz w:val="20"/>
          <w:szCs w:val="20"/>
        </w:rPr>
        <w:t xml:space="preserve"> (</w:t>
      </w:r>
      <w:proofErr w:type="spellStart"/>
      <w:r>
        <w:rPr>
          <w:color w:val="000000"/>
          <w:sz w:val="20"/>
          <w:szCs w:val="20"/>
        </w:rPr>
        <w:t>dir</w:t>
      </w:r>
      <w:proofErr w:type="spellEnd"/>
      <w:r>
        <w:rPr>
          <w:color w:val="000000"/>
          <w:sz w:val="20"/>
          <w:szCs w:val="20"/>
        </w:rPr>
        <w:t xml:space="preserve">.), </w:t>
      </w:r>
      <w:r>
        <w:rPr>
          <w:i/>
          <w:color w:val="000000"/>
          <w:sz w:val="20"/>
          <w:szCs w:val="20"/>
        </w:rPr>
        <w:t>Atlas géopolitique mondial 2024</w:t>
      </w:r>
      <w:r>
        <w:rPr>
          <w:color w:val="000000"/>
          <w:sz w:val="20"/>
          <w:szCs w:val="20"/>
        </w:rPr>
        <w:t>, Éditions du Rocher, 2023, p. 158. </w:t>
      </w:r>
    </w:p>
  </w:footnote>
  <w:footnote w:id="13">
    <w:p w14:paraId="00000034" w14:textId="77777777" w:rsidR="00156480" w:rsidRDefault="000136A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20"/>
          <w:szCs w:val="20"/>
        </w:rPr>
        <w:t xml:space="preserve">Comment les gangs ont pris le contrôle d’Haïti : comprendre en trois minutes, LE MONDE (Oct. 8, 2023), </w:t>
      </w:r>
      <w:hyperlink r:id="rId10">
        <w:r>
          <w:rPr>
            <w:color w:val="467886"/>
            <w:sz w:val="20"/>
            <w:szCs w:val="20"/>
            <w:u w:val="single"/>
          </w:rPr>
          <w:t>https://www.lemonde.fr/comprendre-en-3-minutes/article/2023/10/08/comment-les-gangs-ont-pris-le-controle-d-haiti-comprendre-en-trois-minutes_6193123_6176282.html</w:t>
        </w:r>
      </w:hyperlink>
      <w:r>
        <w:rPr>
          <w:color w:val="000000"/>
          <w:sz w:val="20"/>
          <w:szCs w:val="20"/>
        </w:rPr>
        <w:t>.</w:t>
      </w:r>
    </w:p>
  </w:footnote>
  <w:footnote w:id="14">
    <w:p w14:paraId="00000035" w14:textId="77777777" w:rsidR="00156480" w:rsidRDefault="000136A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20"/>
          <w:szCs w:val="20"/>
        </w:rPr>
        <w:t xml:space="preserve">Brut, Immersion dans le chaos de Port-au-Prince (épisode 1), YOUTUBE (Jan. 17, 2023), </w:t>
      </w:r>
      <w:hyperlink r:id="rId11">
        <w:r>
          <w:rPr>
            <w:color w:val="467886"/>
            <w:sz w:val="20"/>
            <w:szCs w:val="20"/>
            <w:u w:val="single"/>
          </w:rPr>
          <w:t>https://www.youtube.com/watch?v=yuZrz1Z50EA</w:t>
        </w:r>
      </w:hyperlink>
      <w:r>
        <w:rPr>
          <w:color w:val="000000"/>
          <w:sz w:val="20"/>
          <w:szCs w:val="20"/>
        </w:rPr>
        <w:t>.</w:t>
      </w:r>
    </w:p>
    <w:p w14:paraId="00000036" w14:textId="77777777" w:rsidR="00156480" w:rsidRDefault="00156480">
      <w:pPr>
        <w:pBdr>
          <w:top w:val="nil"/>
          <w:left w:val="nil"/>
          <w:bottom w:val="nil"/>
          <w:right w:val="nil"/>
          <w:between w:val="nil"/>
        </w:pBdr>
        <w:spacing w:after="0" w:line="240" w:lineRule="auto"/>
        <w:rPr>
          <w:color w:val="000000"/>
          <w:sz w:val="20"/>
          <w:szCs w:val="20"/>
        </w:rPr>
      </w:pPr>
    </w:p>
    <w:bookmarkStart w:id="0" w:name="_heading=h.gjdgxs" w:colFirst="0" w:colLast="0"/>
    <w:bookmarkEnd w:id="0"/>
  </w:footnote>
  <w:footnote w:id="15">
    <w:p w14:paraId="00000037" w14:textId="77777777" w:rsidR="00156480" w:rsidRPr="00F37680" w:rsidRDefault="000136AC">
      <w:pPr>
        <w:pBdr>
          <w:top w:val="nil"/>
          <w:left w:val="nil"/>
          <w:bottom w:val="nil"/>
          <w:right w:val="nil"/>
          <w:between w:val="nil"/>
        </w:pBdr>
        <w:spacing w:after="0" w:line="240" w:lineRule="auto"/>
        <w:rPr>
          <w:color w:val="000000"/>
          <w:sz w:val="20"/>
          <w:szCs w:val="20"/>
          <w:lang w:val="en-US"/>
        </w:rPr>
      </w:pPr>
      <w:bookmarkStart w:id="1" w:name="_heading=h.gjdgxs" w:colFirst="0" w:colLast="0"/>
      <w:bookmarkEnd w:id="1"/>
      <w:r>
        <w:rPr>
          <w:vertAlign w:val="superscript"/>
        </w:rPr>
        <w:footnoteRef/>
      </w:r>
      <w:r w:rsidRPr="00F37680">
        <w:rPr>
          <w:color w:val="000000"/>
          <w:sz w:val="20"/>
          <w:szCs w:val="20"/>
          <w:lang w:val="en-US"/>
        </w:rPr>
        <w:t xml:space="preserve"> </w:t>
      </w:r>
      <w:r w:rsidRPr="00F37680">
        <w:rPr>
          <w:rFonts w:ascii="Arial" w:eastAsia="Arial" w:hAnsi="Arial" w:cs="Arial"/>
          <w:color w:val="222222"/>
          <w:sz w:val="20"/>
          <w:szCs w:val="20"/>
          <w:highlight w:val="white"/>
          <w:lang w:val="en-US"/>
        </w:rPr>
        <w:t>Carey, H. F., &amp; Manukyan, A. (2020). Misguided Multilateralism? The Saga of UN Peacebuilding in Haiti, p.206.</w:t>
      </w:r>
    </w:p>
  </w:footnote>
  <w:footnote w:id="16">
    <w:p w14:paraId="00000038" w14:textId="77777777" w:rsidR="00156480" w:rsidRDefault="000136A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Liégeois, M. (2021). Transition post-</w:t>
      </w:r>
      <w:proofErr w:type="spellStart"/>
      <w:r>
        <w:rPr>
          <w:color w:val="000000"/>
          <w:sz w:val="20"/>
          <w:szCs w:val="20"/>
        </w:rPr>
        <w:t>minustah</w:t>
      </w:r>
      <w:proofErr w:type="spellEnd"/>
      <w:r>
        <w:rPr>
          <w:color w:val="000000"/>
          <w:sz w:val="20"/>
          <w:szCs w:val="20"/>
        </w:rPr>
        <w:t xml:space="preserve"> et consolidation de la paix en Haïti : défis et leçons apprises. </w:t>
      </w:r>
      <w:r>
        <w:rPr>
          <w:i/>
          <w:color w:val="000000"/>
          <w:sz w:val="20"/>
          <w:szCs w:val="20"/>
        </w:rPr>
        <w:t xml:space="preserve">Observatoire Boutros-Ghali du maintien de la paix – </w:t>
      </w:r>
      <w:proofErr w:type="spellStart"/>
      <w:r>
        <w:rPr>
          <w:i/>
          <w:color w:val="000000"/>
          <w:sz w:val="20"/>
          <w:szCs w:val="20"/>
        </w:rPr>
        <w:t>Decembre</w:t>
      </w:r>
      <w:proofErr w:type="spellEnd"/>
      <w:r>
        <w:rPr>
          <w:i/>
          <w:color w:val="000000"/>
          <w:sz w:val="20"/>
          <w:szCs w:val="20"/>
        </w:rPr>
        <w:t xml:space="preserve"> 2021</w:t>
      </w:r>
    </w:p>
  </w:footnote>
  <w:footnote w:id="17">
    <w:p w14:paraId="00000039" w14:textId="77777777" w:rsidR="00156480" w:rsidRPr="00F37680" w:rsidRDefault="000136AC">
      <w:pPr>
        <w:pBdr>
          <w:top w:val="nil"/>
          <w:left w:val="nil"/>
          <w:bottom w:val="nil"/>
          <w:right w:val="nil"/>
          <w:between w:val="nil"/>
        </w:pBdr>
        <w:spacing w:after="0" w:line="240" w:lineRule="auto"/>
        <w:rPr>
          <w:color w:val="000000"/>
          <w:sz w:val="20"/>
          <w:szCs w:val="20"/>
          <w:lang w:val="en-US"/>
        </w:rPr>
      </w:pPr>
      <w:r>
        <w:rPr>
          <w:vertAlign w:val="superscript"/>
        </w:rPr>
        <w:footnoteRef/>
      </w:r>
      <w:r>
        <w:rPr>
          <w:color w:val="000000"/>
          <w:sz w:val="20"/>
          <w:szCs w:val="20"/>
        </w:rPr>
        <w:t xml:space="preserve"> </w:t>
      </w:r>
      <w:r>
        <w:rPr>
          <w:color w:val="000000"/>
          <w:sz w:val="20"/>
          <w:szCs w:val="20"/>
        </w:rPr>
        <w:t xml:space="preserve">Center for Strategic and International </w:t>
      </w:r>
      <w:proofErr w:type="spellStart"/>
      <w:r>
        <w:rPr>
          <w:color w:val="000000"/>
          <w:sz w:val="20"/>
          <w:szCs w:val="20"/>
        </w:rPr>
        <w:t>Studies</w:t>
      </w:r>
      <w:proofErr w:type="spellEnd"/>
      <w:r>
        <w:rPr>
          <w:color w:val="000000"/>
          <w:sz w:val="20"/>
          <w:szCs w:val="20"/>
        </w:rPr>
        <w:t xml:space="preserve"> (2017). </w:t>
      </w:r>
      <w:r w:rsidRPr="00F37680">
        <w:rPr>
          <w:color w:val="000000"/>
          <w:sz w:val="20"/>
          <w:szCs w:val="20"/>
          <w:lang w:val="en-US"/>
        </w:rPr>
        <w:t xml:space="preserve">Panel Discussion Implications for Haiti with the Departure of UN Peacekeeping Mission (MINUSTAH), 15 September, available at </w:t>
      </w:r>
      <w:hyperlink r:id="rId12">
        <w:r w:rsidRPr="00F37680">
          <w:rPr>
            <w:color w:val="467886"/>
            <w:sz w:val="20"/>
            <w:szCs w:val="20"/>
            <w:u w:val="single"/>
            <w:lang w:val="en-US"/>
          </w:rPr>
          <w:t>https://www.youtube.com/watch?v=_r0C15rS01o</w:t>
        </w:r>
      </w:hyperlink>
      <w:r w:rsidRPr="00F37680">
        <w:rPr>
          <w:color w:val="000000"/>
          <w:sz w:val="20"/>
          <w:szCs w:val="20"/>
          <w:lang w:val="en-US"/>
        </w:rPr>
        <w:t xml:space="preserve">. </w:t>
      </w:r>
    </w:p>
  </w:footnote>
  <w:footnote w:id="18">
    <w:p w14:paraId="00000047" w14:textId="77777777" w:rsidR="00156480" w:rsidRDefault="000136AC">
      <w:pPr>
        <w:spacing w:after="0" w:line="240" w:lineRule="auto"/>
        <w:rPr>
          <w:sz w:val="20"/>
          <w:szCs w:val="20"/>
        </w:rPr>
      </w:pPr>
      <w:r>
        <w:rPr>
          <w:vertAlign w:val="superscript"/>
        </w:rPr>
        <w:footnoteRef/>
      </w:r>
      <w:r w:rsidRPr="00F37680">
        <w:rPr>
          <w:sz w:val="20"/>
          <w:szCs w:val="20"/>
          <w:lang w:val="en-US"/>
        </w:rPr>
        <w:t xml:space="preserve"> </w:t>
      </w:r>
      <w:r w:rsidRPr="00F37680">
        <w:rPr>
          <w:rFonts w:ascii="Arial" w:eastAsia="Arial" w:hAnsi="Arial" w:cs="Arial"/>
          <w:color w:val="222222"/>
          <w:sz w:val="20"/>
          <w:szCs w:val="20"/>
          <w:highlight w:val="white"/>
          <w:lang w:val="en-US"/>
        </w:rPr>
        <w:t>Pingeot, L. (2023). </w:t>
      </w:r>
      <w:r w:rsidRPr="00F37680">
        <w:rPr>
          <w:rFonts w:ascii="Arial" w:eastAsia="Arial" w:hAnsi="Arial" w:cs="Arial"/>
          <w:i/>
          <w:color w:val="222222"/>
          <w:sz w:val="20"/>
          <w:szCs w:val="20"/>
          <w:highlight w:val="white"/>
          <w:lang w:val="en-US"/>
        </w:rPr>
        <w:t>Police Peacekeeping: The UN, Haiti, and the Production of Global Social Order</w:t>
      </w:r>
      <w:r w:rsidRPr="00F37680">
        <w:rPr>
          <w:rFonts w:ascii="Arial" w:eastAsia="Arial" w:hAnsi="Arial" w:cs="Arial"/>
          <w:color w:val="222222"/>
          <w:sz w:val="20"/>
          <w:szCs w:val="20"/>
          <w:highlight w:val="white"/>
          <w:lang w:val="en-US"/>
        </w:rPr>
        <w:t xml:space="preserve">. </w:t>
      </w:r>
      <w:r>
        <w:rPr>
          <w:rFonts w:ascii="Arial" w:eastAsia="Arial" w:hAnsi="Arial" w:cs="Arial"/>
          <w:color w:val="222222"/>
          <w:sz w:val="20"/>
          <w:szCs w:val="20"/>
          <w:highlight w:val="white"/>
        </w:rPr>
        <w:t xml:space="preserve">Oxford </w:t>
      </w:r>
      <w:proofErr w:type="spellStart"/>
      <w:r>
        <w:rPr>
          <w:rFonts w:ascii="Arial" w:eastAsia="Arial" w:hAnsi="Arial" w:cs="Arial"/>
          <w:color w:val="222222"/>
          <w:sz w:val="20"/>
          <w:szCs w:val="20"/>
          <w:highlight w:val="white"/>
        </w:rPr>
        <w:t>University</w:t>
      </w:r>
      <w:proofErr w:type="spellEnd"/>
      <w:r>
        <w:rPr>
          <w:rFonts w:ascii="Arial" w:eastAsia="Arial" w:hAnsi="Arial" w:cs="Arial"/>
          <w:color w:val="222222"/>
          <w:sz w:val="20"/>
          <w:szCs w:val="20"/>
          <w:highlight w:val="white"/>
        </w:rPr>
        <w:t xml:space="preserve"> </w:t>
      </w:r>
      <w:proofErr w:type="spellStart"/>
      <w:r>
        <w:rPr>
          <w:rFonts w:ascii="Arial" w:eastAsia="Arial" w:hAnsi="Arial" w:cs="Arial"/>
          <w:color w:val="222222"/>
          <w:sz w:val="20"/>
          <w:szCs w:val="20"/>
          <w:highlight w:val="white"/>
        </w:rPr>
        <w:t>Press</w:t>
      </w:r>
      <w:proofErr w:type="spellEnd"/>
      <w:r>
        <w:rPr>
          <w:rFonts w:ascii="Arial" w:eastAsia="Arial" w:hAnsi="Arial" w:cs="Arial"/>
          <w:color w:val="222222"/>
          <w:sz w:val="20"/>
          <w:szCs w:val="20"/>
          <w:highlight w:val="white"/>
        </w:rPr>
        <w:t>.</w:t>
      </w:r>
    </w:p>
  </w:footnote>
  <w:footnote w:id="19">
    <w:p w14:paraId="0000003A" w14:textId="77777777" w:rsidR="00156480" w:rsidRDefault="000136A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proofErr w:type="spellStart"/>
      <w:r>
        <w:rPr>
          <w:rFonts w:ascii="Arial" w:eastAsia="Arial" w:hAnsi="Arial" w:cs="Arial"/>
          <w:color w:val="222222"/>
          <w:sz w:val="20"/>
          <w:szCs w:val="20"/>
          <w:highlight w:val="white"/>
        </w:rPr>
        <w:t>Piarroux</w:t>
      </w:r>
      <w:proofErr w:type="spellEnd"/>
      <w:r>
        <w:rPr>
          <w:rFonts w:ascii="Arial" w:eastAsia="Arial" w:hAnsi="Arial" w:cs="Arial"/>
          <w:color w:val="222222"/>
          <w:sz w:val="20"/>
          <w:szCs w:val="20"/>
          <w:highlight w:val="white"/>
        </w:rPr>
        <w:t>, R. (2019). </w:t>
      </w:r>
      <w:r>
        <w:rPr>
          <w:rFonts w:ascii="Arial" w:eastAsia="Arial" w:hAnsi="Arial" w:cs="Arial"/>
          <w:i/>
          <w:color w:val="222222"/>
          <w:sz w:val="20"/>
          <w:szCs w:val="20"/>
          <w:highlight w:val="white"/>
        </w:rPr>
        <w:t>Choléra. Haïti 2010-2018: histoire d'un désastre</w:t>
      </w:r>
      <w:r>
        <w:rPr>
          <w:rFonts w:ascii="Arial" w:eastAsia="Arial" w:hAnsi="Arial" w:cs="Arial"/>
          <w:color w:val="222222"/>
          <w:sz w:val="20"/>
          <w:szCs w:val="20"/>
          <w:highlight w:val="white"/>
        </w:rPr>
        <w:t>. CNRS éditions.</w:t>
      </w:r>
    </w:p>
  </w:footnote>
  <w:footnote w:id="20">
    <w:p w14:paraId="0000003B" w14:textId="77777777" w:rsidR="00156480" w:rsidRDefault="000136A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20"/>
          <w:szCs w:val="20"/>
        </w:rPr>
        <w:t xml:space="preserve">Convention sur les privilèges et immunités des Nations Unies approuvée par l'Assemblée Générale des Nations Unies le 13 février 1946 - </w:t>
      </w:r>
      <w:hyperlink r:id="rId13" w:anchor=":~:text=L'Organisation%20des%20Nations%20Unies%2C%20ses%20biens%20et%20avoirs%2C,%C3%A0%20des%20mesures%20d'ex%C3%A9cution">
        <w:r>
          <w:rPr>
            <w:color w:val="467886"/>
            <w:sz w:val="20"/>
            <w:szCs w:val="20"/>
            <w:u w:val="single"/>
          </w:rPr>
          <w:t>https://www.icj-cij.org/fr/autres-textes/convention-sur-les-privileges#:~:text=L'Organisation%20des%20Nations%20Unies%2C%20ses%20biens%20et%20avoirs%2C,%C3%A0%20des%20mesures%20d'ex%C3%A9cution</w:t>
        </w:r>
      </w:hyperlink>
      <w:r>
        <w:rPr>
          <w:color w:val="000000"/>
          <w:sz w:val="20"/>
          <w:szCs w:val="20"/>
        </w:rPr>
        <w:t xml:space="preserve">. </w:t>
      </w:r>
    </w:p>
  </w:footnote>
  <w:footnote w:id="21">
    <w:p w14:paraId="0000003C" w14:textId="77777777" w:rsidR="00156480" w:rsidRPr="00F37680" w:rsidRDefault="000136AC">
      <w:pPr>
        <w:pBdr>
          <w:top w:val="nil"/>
          <w:left w:val="nil"/>
          <w:bottom w:val="nil"/>
          <w:right w:val="nil"/>
          <w:between w:val="nil"/>
        </w:pBdr>
        <w:spacing w:after="0" w:line="240" w:lineRule="auto"/>
        <w:rPr>
          <w:color w:val="000000"/>
          <w:sz w:val="20"/>
          <w:szCs w:val="20"/>
          <w:lang w:val="nl-BE"/>
        </w:rPr>
      </w:pPr>
      <w:r>
        <w:rPr>
          <w:vertAlign w:val="superscript"/>
        </w:rPr>
        <w:footnoteRef/>
      </w:r>
      <w:r w:rsidRPr="00F37680">
        <w:rPr>
          <w:color w:val="000000"/>
          <w:sz w:val="20"/>
          <w:szCs w:val="20"/>
          <w:lang w:val="en-US"/>
        </w:rPr>
        <w:t xml:space="preserve"> </w:t>
      </w:r>
      <w:r w:rsidRPr="00F37680">
        <w:rPr>
          <w:color w:val="000000"/>
          <w:sz w:val="20"/>
          <w:szCs w:val="20"/>
          <w:lang w:val="en-US"/>
        </w:rPr>
        <w:t xml:space="preserve">Elks, S. (2019, 18 décembre). Haitians say underaged girls were abused by U.N. peacekeepers. </w:t>
      </w:r>
      <w:r w:rsidRPr="00F37680">
        <w:rPr>
          <w:i/>
          <w:color w:val="000000"/>
          <w:sz w:val="20"/>
          <w:szCs w:val="20"/>
          <w:lang w:val="nl-BE"/>
        </w:rPr>
        <w:t>Reuters</w:t>
      </w:r>
      <w:r w:rsidRPr="00F37680">
        <w:rPr>
          <w:color w:val="000000"/>
          <w:sz w:val="20"/>
          <w:szCs w:val="20"/>
          <w:lang w:val="nl-BE"/>
        </w:rPr>
        <w:t xml:space="preserve">. </w:t>
      </w:r>
      <w:hyperlink r:id="rId14">
        <w:r w:rsidRPr="00F37680">
          <w:rPr>
            <w:color w:val="467886"/>
            <w:sz w:val="20"/>
            <w:szCs w:val="20"/>
            <w:u w:val="single"/>
            <w:lang w:val="nl-BE"/>
          </w:rPr>
          <w:t>https://www.reuters.com/article/world/haitians-say-underaged-girls-were-abused-by-un-peacekeepers-idUSKBN1YM27V/</w:t>
        </w:r>
      </w:hyperlink>
      <w:r w:rsidRPr="00F37680">
        <w:rPr>
          <w:color w:val="000000"/>
          <w:sz w:val="20"/>
          <w:szCs w:val="20"/>
          <w:lang w:val="nl-BE"/>
        </w:rPr>
        <w:t xml:space="preserve"> </w:t>
      </w:r>
    </w:p>
    <w:p w14:paraId="0000003D" w14:textId="77777777" w:rsidR="00156480" w:rsidRPr="00F37680" w:rsidRDefault="00156480">
      <w:pPr>
        <w:pBdr>
          <w:top w:val="nil"/>
          <w:left w:val="nil"/>
          <w:bottom w:val="nil"/>
          <w:right w:val="nil"/>
          <w:between w:val="nil"/>
        </w:pBdr>
        <w:spacing w:after="0" w:line="240" w:lineRule="auto"/>
        <w:rPr>
          <w:color w:val="000000"/>
          <w:sz w:val="20"/>
          <w:szCs w:val="20"/>
          <w:lang w:val="nl-BE"/>
        </w:rPr>
      </w:pPr>
    </w:p>
  </w:footnote>
  <w:footnote w:id="22">
    <w:p w14:paraId="0000003E" w14:textId="77777777" w:rsidR="00156480" w:rsidRPr="00F37680" w:rsidRDefault="000136AC">
      <w:pPr>
        <w:pBdr>
          <w:top w:val="nil"/>
          <w:left w:val="nil"/>
          <w:bottom w:val="nil"/>
          <w:right w:val="nil"/>
          <w:between w:val="nil"/>
        </w:pBdr>
        <w:spacing w:after="0" w:line="240" w:lineRule="auto"/>
        <w:rPr>
          <w:color w:val="000000"/>
          <w:sz w:val="20"/>
          <w:szCs w:val="20"/>
          <w:lang w:val="en-US"/>
        </w:rPr>
      </w:pPr>
      <w:r>
        <w:rPr>
          <w:vertAlign w:val="superscript"/>
        </w:rPr>
        <w:footnoteRef/>
      </w:r>
      <w:r w:rsidRPr="00F37680">
        <w:rPr>
          <w:color w:val="000000"/>
          <w:sz w:val="20"/>
          <w:szCs w:val="20"/>
          <w:lang w:val="en-US"/>
        </w:rPr>
        <w:t xml:space="preserve"> </w:t>
      </w:r>
      <w:r w:rsidRPr="00F37680">
        <w:rPr>
          <w:rFonts w:ascii="Arial" w:eastAsia="Arial" w:hAnsi="Arial" w:cs="Arial"/>
          <w:color w:val="222222"/>
          <w:sz w:val="20"/>
          <w:szCs w:val="20"/>
          <w:highlight w:val="white"/>
          <w:lang w:val="en-US"/>
        </w:rPr>
        <w:t>Carey, H. F., &amp; Manukyan, A. (2020). Misguided Multilateralism? The Saga of UN Peacebuilding in Haiti, p.2017.</w:t>
      </w:r>
    </w:p>
  </w:footnote>
  <w:footnote w:id="23">
    <w:p w14:paraId="0000003F" w14:textId="77777777" w:rsidR="00156480" w:rsidRPr="00F37680" w:rsidRDefault="000136AC">
      <w:pPr>
        <w:pBdr>
          <w:top w:val="nil"/>
          <w:left w:val="nil"/>
          <w:bottom w:val="nil"/>
          <w:right w:val="nil"/>
          <w:between w:val="nil"/>
        </w:pBdr>
        <w:spacing w:after="0" w:line="240" w:lineRule="auto"/>
        <w:rPr>
          <w:color w:val="000000"/>
          <w:sz w:val="20"/>
          <w:szCs w:val="20"/>
          <w:lang w:val="en-US"/>
        </w:rPr>
      </w:pPr>
      <w:r>
        <w:rPr>
          <w:vertAlign w:val="superscript"/>
        </w:rPr>
        <w:footnoteRef/>
      </w:r>
      <w:r>
        <w:rPr>
          <w:color w:val="000000"/>
          <w:sz w:val="20"/>
          <w:szCs w:val="20"/>
        </w:rPr>
        <w:t xml:space="preserve"> Robles, F., &amp; Latif Dahir, A. (2024, 24 mars). </w:t>
      </w:r>
      <w:r w:rsidRPr="00F37680">
        <w:rPr>
          <w:color w:val="000000"/>
          <w:sz w:val="20"/>
          <w:szCs w:val="20"/>
          <w:lang w:val="en-US"/>
        </w:rPr>
        <w:t xml:space="preserve">Kenya Hits Pause on Police Deployment to Haiti. </w:t>
      </w:r>
      <w:r w:rsidRPr="00F37680">
        <w:rPr>
          <w:i/>
          <w:color w:val="000000"/>
          <w:sz w:val="20"/>
          <w:szCs w:val="20"/>
          <w:lang w:val="en-US"/>
        </w:rPr>
        <w:t>The New-York Times</w:t>
      </w:r>
      <w:r w:rsidRPr="00F37680">
        <w:rPr>
          <w:color w:val="000000"/>
          <w:sz w:val="20"/>
          <w:szCs w:val="20"/>
          <w:lang w:val="en-US"/>
        </w:rPr>
        <w:t xml:space="preserve">. </w:t>
      </w:r>
      <w:hyperlink r:id="rId15">
        <w:r w:rsidRPr="00F37680">
          <w:rPr>
            <w:color w:val="467886"/>
            <w:sz w:val="20"/>
            <w:szCs w:val="20"/>
            <w:u w:val="single"/>
            <w:lang w:val="en-US"/>
          </w:rPr>
          <w:t>https://www.nytimes.com/2024/03/12/world/americas/kenya-haiti-police-deployment.html</w:t>
        </w:r>
      </w:hyperlink>
      <w:r w:rsidRPr="00F37680">
        <w:rPr>
          <w:color w:val="000000"/>
          <w:sz w:val="20"/>
          <w:szCs w:val="20"/>
          <w:lang w:val="en-US"/>
        </w:rPr>
        <w:t xml:space="preserve"> </w:t>
      </w:r>
    </w:p>
  </w:footnote>
  <w:footnote w:id="24">
    <w:p w14:paraId="00000040" w14:textId="77777777" w:rsidR="00156480" w:rsidRPr="00F37680" w:rsidRDefault="000136AC">
      <w:pPr>
        <w:pBdr>
          <w:top w:val="nil"/>
          <w:left w:val="nil"/>
          <w:bottom w:val="nil"/>
          <w:right w:val="nil"/>
          <w:between w:val="nil"/>
        </w:pBdr>
        <w:spacing w:after="0" w:line="240" w:lineRule="auto"/>
        <w:rPr>
          <w:color w:val="000000"/>
          <w:sz w:val="20"/>
          <w:szCs w:val="20"/>
          <w:lang w:val="en-US"/>
        </w:rPr>
      </w:pPr>
      <w:r>
        <w:rPr>
          <w:vertAlign w:val="superscript"/>
        </w:rPr>
        <w:footnoteRef/>
      </w:r>
      <w:r w:rsidRPr="00F37680">
        <w:rPr>
          <w:color w:val="000000"/>
          <w:sz w:val="20"/>
          <w:szCs w:val="20"/>
          <w:lang w:val="en-US"/>
        </w:rPr>
        <w:t xml:space="preserve"> </w:t>
      </w:r>
      <w:r w:rsidRPr="00F37680">
        <w:rPr>
          <w:color w:val="000000"/>
          <w:sz w:val="20"/>
          <w:szCs w:val="20"/>
          <w:lang w:val="en-US"/>
        </w:rPr>
        <w:t xml:space="preserve">International Peace Institute; Stimson Center; and Security Council Report (2024, December 5). </w:t>
      </w:r>
      <w:r w:rsidRPr="00F37680">
        <w:rPr>
          <w:i/>
          <w:color w:val="000000"/>
          <w:sz w:val="20"/>
          <w:szCs w:val="20"/>
          <w:lang w:val="en-US"/>
        </w:rPr>
        <w:t>Emerging Practices in New Mission Models: The Multinational Security Support Mission in Haiti</w:t>
      </w:r>
    </w:p>
  </w:footnote>
  <w:footnote w:id="25">
    <w:p w14:paraId="00000041" w14:textId="77777777" w:rsidR="00156480" w:rsidRPr="00F37680" w:rsidRDefault="000136AC">
      <w:pPr>
        <w:pBdr>
          <w:top w:val="nil"/>
          <w:left w:val="nil"/>
          <w:bottom w:val="nil"/>
          <w:right w:val="nil"/>
          <w:between w:val="nil"/>
        </w:pBdr>
        <w:spacing w:after="0" w:line="240" w:lineRule="auto"/>
        <w:rPr>
          <w:color w:val="000000"/>
          <w:sz w:val="20"/>
          <w:szCs w:val="20"/>
          <w:lang w:val="en-US"/>
        </w:rPr>
      </w:pPr>
      <w:r>
        <w:rPr>
          <w:vertAlign w:val="superscript"/>
        </w:rPr>
        <w:footnoteRef/>
      </w:r>
      <w:r w:rsidRPr="00F37680">
        <w:rPr>
          <w:color w:val="000000"/>
          <w:sz w:val="20"/>
          <w:szCs w:val="20"/>
          <w:lang w:val="en-US"/>
        </w:rPr>
        <w:t xml:space="preserve"> Williams, P. D. (2024).  “The United Nations Support Office Model: Lessons from Somalia,” </w:t>
      </w:r>
      <w:r w:rsidRPr="00F37680">
        <w:rPr>
          <w:i/>
          <w:color w:val="000000"/>
          <w:sz w:val="20"/>
          <w:szCs w:val="20"/>
          <w:lang w:val="en-US"/>
        </w:rPr>
        <w:t>IPI</w:t>
      </w:r>
      <w:r w:rsidRPr="00F37680">
        <w:rPr>
          <w:color w:val="000000"/>
          <w:sz w:val="20"/>
          <w:szCs w:val="20"/>
          <w:lang w:val="en-US"/>
        </w:rPr>
        <w:t>.</w:t>
      </w:r>
    </w:p>
  </w:footnote>
  <w:footnote w:id="26">
    <w:p w14:paraId="00000042" w14:textId="77777777" w:rsidR="00156480" w:rsidRDefault="000136A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Intervention du Chancelier haïtien au Conseil de sécurité, </w:t>
      </w:r>
      <w:proofErr w:type="spellStart"/>
      <w:r>
        <w:rPr>
          <w:color w:val="000000"/>
          <w:sz w:val="20"/>
          <w:szCs w:val="20"/>
        </w:rPr>
        <w:t>HaitiLibre</w:t>
      </w:r>
      <w:proofErr w:type="spellEnd"/>
      <w:r>
        <w:rPr>
          <w:color w:val="000000"/>
          <w:sz w:val="20"/>
          <w:szCs w:val="20"/>
        </w:rPr>
        <w:t xml:space="preserve">, </w:t>
      </w:r>
      <w:hyperlink r:id="rId16">
        <w:r>
          <w:rPr>
            <w:color w:val="467886"/>
            <w:sz w:val="20"/>
            <w:szCs w:val="20"/>
            <w:u w:val="single"/>
          </w:rPr>
          <w:t>https://www.haitilibre.com/article-44123-haiti-politique-intervention-du-chancelier-haitien-au-conseil-de-securite.html</w:t>
        </w:r>
      </w:hyperlink>
      <w:r>
        <w:rPr>
          <w:color w:val="000000"/>
          <w:sz w:val="20"/>
          <w:szCs w:val="20"/>
        </w:rPr>
        <w:t>.</w:t>
      </w:r>
    </w:p>
  </w:footnote>
  <w:footnote w:id="27">
    <w:p w14:paraId="00000043" w14:textId="77777777" w:rsidR="00156480" w:rsidRPr="00F37680" w:rsidRDefault="000136AC">
      <w:pPr>
        <w:pBdr>
          <w:top w:val="nil"/>
          <w:left w:val="nil"/>
          <w:bottom w:val="nil"/>
          <w:right w:val="nil"/>
          <w:between w:val="nil"/>
        </w:pBdr>
        <w:spacing w:after="0" w:line="240" w:lineRule="auto"/>
        <w:rPr>
          <w:color w:val="000000"/>
          <w:sz w:val="20"/>
          <w:szCs w:val="20"/>
          <w:lang w:val="en-US"/>
        </w:rPr>
      </w:pPr>
      <w:r>
        <w:rPr>
          <w:vertAlign w:val="superscript"/>
        </w:rPr>
        <w:footnoteRef/>
      </w:r>
      <w:r w:rsidRPr="00F37680">
        <w:rPr>
          <w:color w:val="000000"/>
          <w:sz w:val="20"/>
          <w:szCs w:val="20"/>
          <w:lang w:val="en-US"/>
        </w:rPr>
        <w:t xml:space="preserve"> </w:t>
      </w:r>
      <w:r w:rsidRPr="00F37680">
        <w:rPr>
          <w:color w:val="000000"/>
          <w:sz w:val="20"/>
          <w:szCs w:val="20"/>
          <w:lang w:val="en-US"/>
        </w:rPr>
        <w:t xml:space="preserve">Edith M. Lederer, UN Chief Warns Haiti Gangs Could Overrun Capital Without International Police Force, AP News,  </w:t>
      </w:r>
      <w:hyperlink r:id="rId17">
        <w:r w:rsidRPr="00F37680">
          <w:rPr>
            <w:color w:val="467886"/>
            <w:sz w:val="20"/>
            <w:szCs w:val="20"/>
            <w:u w:val="single"/>
            <w:lang w:val="en-US"/>
          </w:rPr>
          <w:t>https://apnews.com/article/un-haiti-gangs-police-security-officers-f3d3997af406930c3887a78b90a251eb</w:t>
        </w:r>
      </w:hyperlink>
      <w:r w:rsidRPr="00F37680">
        <w:rPr>
          <w:color w:val="000000"/>
          <w:sz w:val="20"/>
          <w:szCs w:val="20"/>
          <w:lang w:val="en-US"/>
        </w:rPr>
        <w:t>.</w:t>
      </w:r>
    </w:p>
    <w:p w14:paraId="00000044" w14:textId="77777777" w:rsidR="00156480" w:rsidRPr="00F37680" w:rsidRDefault="00156480">
      <w:pPr>
        <w:pBdr>
          <w:top w:val="nil"/>
          <w:left w:val="nil"/>
          <w:bottom w:val="nil"/>
          <w:right w:val="nil"/>
          <w:between w:val="nil"/>
        </w:pBdr>
        <w:spacing w:after="0" w:line="240" w:lineRule="auto"/>
        <w:rPr>
          <w:color w:val="000000"/>
          <w:sz w:val="20"/>
          <w:szCs w:val="20"/>
          <w:lang w:val="en-US"/>
        </w:rPr>
      </w:pPr>
    </w:p>
  </w:footnote>
  <w:footnote w:id="28">
    <w:p w14:paraId="00000045" w14:textId="77777777" w:rsidR="00156480" w:rsidRDefault="000136A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Ministère de l'Europe et des Affaires étrangères, </w:t>
      </w:r>
      <w:r>
        <w:rPr>
          <w:i/>
          <w:color w:val="000000"/>
          <w:sz w:val="20"/>
          <w:szCs w:val="20"/>
        </w:rPr>
        <w:t>Présentation de Haïti</w:t>
      </w:r>
      <w:r>
        <w:rPr>
          <w:color w:val="000000"/>
          <w:sz w:val="20"/>
          <w:szCs w:val="20"/>
        </w:rPr>
        <w:t xml:space="preserve">, </w:t>
      </w:r>
      <w:hyperlink r:id="rId18">
        <w:r>
          <w:rPr>
            <w:color w:val="467886"/>
            <w:sz w:val="20"/>
            <w:szCs w:val="20"/>
            <w:u w:val="single"/>
          </w:rPr>
          <w:t>https://www.diplomatie.gouv.fr/fr/dossiers-pays/haiti/presentation-de-haiti/</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480"/>
    <w:rsid w:val="000136AC"/>
    <w:rsid w:val="00156480"/>
    <w:rsid w:val="00195ACB"/>
    <w:rsid w:val="0094038A"/>
    <w:rsid w:val="00F3768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4:docId w14:val="6F660AB1"/>
  <w15:docId w15:val="{A9718E3A-7ADB-6F47-85AD-130169719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fr-BE"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A56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CA56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CA565D"/>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CA565D"/>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CA565D"/>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CA565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A565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A565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A565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rsid w:val="00CA56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CA565D"/>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CA565D"/>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CA565D"/>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CA565D"/>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CA565D"/>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CA565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A565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A565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A565D"/>
    <w:rPr>
      <w:rFonts w:eastAsiaTheme="majorEastAsia" w:cstheme="majorBidi"/>
      <w:color w:val="272727" w:themeColor="text1" w:themeTint="D8"/>
    </w:rPr>
  </w:style>
  <w:style w:type="character" w:customStyle="1" w:styleId="TitreCar">
    <w:name w:val="Titre Car"/>
    <w:basedOn w:val="Policepardfaut"/>
    <w:link w:val="Titre"/>
    <w:uiPriority w:val="10"/>
    <w:rsid w:val="00CA565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Pr>
      <w:color w:val="595959"/>
      <w:sz w:val="28"/>
      <w:szCs w:val="28"/>
    </w:rPr>
  </w:style>
  <w:style w:type="character" w:customStyle="1" w:styleId="Sous-titreCar">
    <w:name w:val="Sous-titre Car"/>
    <w:basedOn w:val="Policepardfaut"/>
    <w:link w:val="Sous-titre"/>
    <w:uiPriority w:val="11"/>
    <w:rsid w:val="00CA565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A565D"/>
    <w:pPr>
      <w:spacing w:before="160"/>
      <w:jc w:val="center"/>
    </w:pPr>
    <w:rPr>
      <w:i/>
      <w:iCs/>
      <w:color w:val="404040" w:themeColor="text1" w:themeTint="BF"/>
    </w:rPr>
  </w:style>
  <w:style w:type="character" w:customStyle="1" w:styleId="CitationCar">
    <w:name w:val="Citation Car"/>
    <w:basedOn w:val="Policepardfaut"/>
    <w:link w:val="Citation"/>
    <w:uiPriority w:val="29"/>
    <w:rsid w:val="00CA565D"/>
    <w:rPr>
      <w:i/>
      <w:iCs/>
      <w:color w:val="404040" w:themeColor="text1" w:themeTint="BF"/>
    </w:rPr>
  </w:style>
  <w:style w:type="paragraph" w:styleId="Paragraphedeliste">
    <w:name w:val="List Paragraph"/>
    <w:basedOn w:val="Normal"/>
    <w:uiPriority w:val="34"/>
    <w:qFormat/>
    <w:rsid w:val="00CA565D"/>
    <w:pPr>
      <w:ind w:left="720"/>
      <w:contextualSpacing/>
    </w:pPr>
  </w:style>
  <w:style w:type="character" w:styleId="Accentuationintense">
    <w:name w:val="Intense Emphasis"/>
    <w:basedOn w:val="Policepardfaut"/>
    <w:uiPriority w:val="21"/>
    <w:qFormat/>
    <w:rsid w:val="00CA565D"/>
    <w:rPr>
      <w:i/>
      <w:iCs/>
      <w:color w:val="0F4761" w:themeColor="accent1" w:themeShade="BF"/>
    </w:rPr>
  </w:style>
  <w:style w:type="paragraph" w:styleId="Citationintense">
    <w:name w:val="Intense Quote"/>
    <w:basedOn w:val="Normal"/>
    <w:next w:val="Normal"/>
    <w:link w:val="CitationintenseCar"/>
    <w:uiPriority w:val="30"/>
    <w:qFormat/>
    <w:rsid w:val="00CA56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CA565D"/>
    <w:rPr>
      <w:i/>
      <w:iCs/>
      <w:color w:val="0F4761" w:themeColor="accent1" w:themeShade="BF"/>
    </w:rPr>
  </w:style>
  <w:style w:type="character" w:styleId="Rfrenceintense">
    <w:name w:val="Intense Reference"/>
    <w:basedOn w:val="Policepardfaut"/>
    <w:uiPriority w:val="32"/>
    <w:qFormat/>
    <w:rsid w:val="00CA565D"/>
    <w:rPr>
      <w:b/>
      <w:bCs/>
      <w:smallCaps/>
      <w:color w:val="0F4761" w:themeColor="accent1" w:themeShade="BF"/>
      <w:spacing w:val="5"/>
    </w:rPr>
  </w:style>
  <w:style w:type="paragraph" w:styleId="Notedebasdepage">
    <w:name w:val="footnote text"/>
    <w:basedOn w:val="Normal"/>
    <w:link w:val="NotedebasdepageCar"/>
    <w:uiPriority w:val="99"/>
    <w:semiHidden/>
    <w:unhideWhenUsed/>
    <w:rsid w:val="00A1511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1511E"/>
    <w:rPr>
      <w:sz w:val="20"/>
      <w:szCs w:val="20"/>
    </w:rPr>
  </w:style>
  <w:style w:type="character" w:styleId="Appelnotedebasdep">
    <w:name w:val="footnote reference"/>
    <w:basedOn w:val="Policepardfaut"/>
    <w:uiPriority w:val="99"/>
    <w:semiHidden/>
    <w:unhideWhenUsed/>
    <w:rsid w:val="00A1511E"/>
    <w:rPr>
      <w:vertAlign w:val="superscript"/>
    </w:rPr>
  </w:style>
  <w:style w:type="character" w:styleId="Lienhypertexte">
    <w:name w:val="Hyperlink"/>
    <w:basedOn w:val="Policepardfaut"/>
    <w:uiPriority w:val="99"/>
    <w:unhideWhenUsed/>
    <w:rsid w:val="00202511"/>
    <w:rPr>
      <w:color w:val="467886" w:themeColor="hyperlink"/>
      <w:u w:val="single"/>
    </w:rPr>
  </w:style>
  <w:style w:type="character" w:styleId="Mentionnonrsolue">
    <w:name w:val="Unresolved Mention"/>
    <w:basedOn w:val="Policepardfaut"/>
    <w:uiPriority w:val="99"/>
    <w:semiHidden/>
    <w:unhideWhenUsed/>
    <w:rsid w:val="00202511"/>
    <w:rPr>
      <w:color w:val="605E5C"/>
      <w:shd w:val="clear" w:color="auto" w:fill="E1DFDD"/>
    </w:rPr>
  </w:style>
  <w:style w:type="paragraph" w:styleId="NormalWeb">
    <w:name w:val="Normal (Web)"/>
    <w:basedOn w:val="Normal"/>
    <w:uiPriority w:val="99"/>
    <w:semiHidden/>
    <w:unhideWhenUsed/>
    <w:rsid w:val="0004604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lemonde.fr/comprendre-en-3-minutes/article/2023/10/08/comment-les-gangs-ont-pris-le-controle-d-haiti-comprendre-en-trois-minutes_6193123_6176282.html" TargetMode="External"/><Relationship Id="rId13" Type="http://schemas.openxmlformats.org/officeDocument/2006/relationships/hyperlink" Target="https://www.icj-cij.org/fr/autres-textes/convention-sur-les-privileges" TargetMode="External"/><Relationship Id="rId18" Type="http://schemas.openxmlformats.org/officeDocument/2006/relationships/hyperlink" Target="https://www.diplomatie.gouv.fr/fr/dossiers-pays/haiti/presentation-de-haiti/" TargetMode="External"/><Relationship Id="rId3" Type="http://schemas.openxmlformats.org/officeDocument/2006/relationships/hyperlink" Target="https://francearchives.gouv.fr/pages_histoire/38647" TargetMode="External"/><Relationship Id="rId7" Type="http://schemas.openxmlformats.org/officeDocument/2006/relationships/hyperlink" Target="https://asfcanada.ca/medias/les-racines-du-mal-pres-de-30-ans-de-duvalierisme-en-haiti/" TargetMode="External"/><Relationship Id="rId12" Type="http://schemas.openxmlformats.org/officeDocument/2006/relationships/hyperlink" Target="https://www.youtube.com/watch?v=_r0C15rS01o" TargetMode="External"/><Relationship Id="rId17" Type="http://schemas.openxmlformats.org/officeDocument/2006/relationships/hyperlink" Target="https://apnews.com/article/un-haiti-gangs-police-security-officers-f3d3997af406930c3887a78b90a251eb" TargetMode="External"/><Relationship Id="rId2" Type="http://schemas.openxmlformats.org/officeDocument/2006/relationships/hyperlink" Target="https://www.banquemondiale.org/fr/country/haiti/overview" TargetMode="External"/><Relationship Id="rId16" Type="http://schemas.openxmlformats.org/officeDocument/2006/relationships/hyperlink" Target="https://www.haitilibre.com/article-44123-haiti-politique-intervention-du-chancelier-haitien-au-conseil-de-securite.html" TargetMode="External"/><Relationship Id="rId1" Type="http://schemas.openxmlformats.org/officeDocument/2006/relationships/hyperlink" Target="https://news.un.org/fr/story/2025/01/1151896" TargetMode="External"/><Relationship Id="rId6" Type="http://schemas.openxmlformats.org/officeDocument/2006/relationships/hyperlink" Target="https://www.nytimes.com/fr/2022/05/20/world/haiti-france-reparations-aristide.html" TargetMode="External"/><Relationship Id="rId11" Type="http://schemas.openxmlformats.org/officeDocument/2006/relationships/hyperlink" Target="https://www.youtube.com/watch?v=yuZrz1Z50EA" TargetMode="External"/><Relationship Id="rId5" Type="http://schemas.openxmlformats.org/officeDocument/2006/relationships/hyperlink" Target="https://www.france24.com/fr/20150512-francois-hollande-haiti-dette-france-discours-renforcement-systeme-scolaire" TargetMode="External"/><Relationship Id="rId15" Type="http://schemas.openxmlformats.org/officeDocument/2006/relationships/hyperlink" Target="https://www.nytimes.com/2024/03/12/world/americas/kenya-haiti-police-deployment.html" TargetMode="External"/><Relationship Id="rId10" Type="http://schemas.openxmlformats.org/officeDocument/2006/relationships/hyperlink" Target="https://www.lemonde.fr/comprendre-en-3-minutes/article/2023/10/08/comment-les-gangs-ont-pris-le-controle-d-haiti-comprendre-en-trois-minutes_6193123_6176282.html" TargetMode="External"/><Relationship Id="rId4" Type="http://schemas.openxmlformats.org/officeDocument/2006/relationships/hyperlink" Target="https://shs.cairn.info/revue-rue-descartes-2007-4-page-56?lang=fr" TargetMode="External"/><Relationship Id="rId9" Type="http://schemas.openxmlformats.org/officeDocument/2006/relationships/hyperlink" Target="https://reliefweb.int/report/haiti/haiti-earthquake-situation-report-10" TargetMode="External"/><Relationship Id="rId14" Type="http://schemas.openxmlformats.org/officeDocument/2006/relationships/hyperlink" Target="https://www.reuters.com/article/world/haitians-say-underaged-girls-were-abused-by-un-peacekeepers-idUSKBN1YM27V/"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7phF2jr2APW8gM5T+terhgPDuQ==">CgMxLjAyCGguZ2pkZ3hzOAByITF4T1VKdVA0OFRRS1VVNEVDZFJ0LWZZRlNRZmZGRGVhQQ==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2734</Words>
  <Characters>15041</Characters>
  <Application>Microsoft Office Word</Application>
  <DocSecurity>0</DocSecurity>
  <Lines>125</Lines>
  <Paragraphs>35</Paragraphs>
  <ScaleCrop>false</ScaleCrop>
  <Company/>
  <LinksUpToDate>false</LinksUpToDate>
  <CharactersWithSpaces>17740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Quentin Moussebois</dc:creator>
  <cp:lastModifiedBy>LENNON Thomas</cp:lastModifiedBy>
  <cp:revision>3</cp:revision>
  <dcterms:created xsi:type="dcterms:W3CDTF">2025-01-28T12:36:00Z</dcterms:created>
  <dcterms:modified xsi:type="dcterms:W3CDTF">2025-01-28T12:37:00Z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d6d6305d-0ffd-4f05-8a51-ef69fd07d4d8</vt:lpwstr>
  </property>
</Properties>
</file>