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media/image1.jpeg" ContentType="image/jpeg"/>
  <Override PartName="/word/media/image3.png" ContentType="image/png"/>
  <Override PartName="/word/media/image2.gif" ContentType="image/gif"/>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sz w:val="2"/>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00" w:right="1200" w:header="432" w:top="1440" w:footer="576" w:bottom="1728" w:gutter="0"/>
          <w:pgNumType w:fmt="decimal"/>
          <w:formProt w:val="false"/>
          <w:titlePg/>
          <w:textDirection w:val="lrTb"/>
          <w:docGrid w:type="default" w:linePitch="360" w:charSpace="0"/>
        </w:sectPr>
      </w:pPr>
    </w:p>
    <w:p>
      <w:pPr>
        <w:pStyle w:val="Session"/>
        <w:rPr/>
      </w:pPr>
      <w:r>
        <w:rPr/>
        <w:t>Onzième session extraordinaire d’urgence</w:t>
      </w:r>
    </w:p>
    <w:p>
      <w:pPr>
        <w:pStyle w:val="AgendaItemNormal"/>
        <w:rPr>
          <w:lang w:val="fr-FR"/>
        </w:rPr>
      </w:pPr>
      <w:r>
        <w:rPr>
          <w:lang w:val="fr-FR"/>
        </w:rPr>
        <w:t>Point 5 de l’ordre du jour</w:t>
      </w:r>
    </w:p>
    <w:p>
      <w:pPr>
        <w:pStyle w:val="AgendaTitleH2"/>
        <w:rPr/>
      </w:pPr>
      <w:r>
        <w:rPr>
          <w:lang w:val="fr-FR"/>
        </w:rPr>
        <w:t>Lettre datée du 28 février 2014, adressée à la Présidente du Conseil de sécurité par le Représentant permanent de l’Ukraine auprès de l’Organisation des Nations Unies (</w:t>
      </w:r>
      <w:hyperlink r:id="rId8">
        <w:r>
          <w:rPr>
            <w:rStyle w:val="LienInternet"/>
            <w:bCs/>
            <w:lang w:val="fr-FR"/>
          </w:rPr>
          <w:t>S/2014/136</w:t>
        </w:r>
      </w:hyperlink>
      <w:r>
        <w:rPr>
          <w:lang w:val="fr-FR"/>
        </w:rPr>
        <w:t>)</w:t>
      </w:r>
    </w:p>
    <w:p>
      <w:pPr>
        <w:pStyle w:val="SingleTxt"/>
        <w:spacing w:lineRule="exact" w:line="120" w:before="0" w:after="0"/>
        <w:rPr>
          <w:sz w:val="10"/>
          <w:lang w:val="fr-FR"/>
        </w:rPr>
      </w:pPr>
      <w:r>
        <w:rPr>
          <w:sz w:val="10"/>
          <w:lang w:val="fr-FR"/>
        </w:rPr>
      </w:r>
    </w:p>
    <w:p>
      <w:pPr>
        <w:pStyle w:val="SingleTxt"/>
        <w:spacing w:lineRule="exact" w:line="120" w:before="0" w:after="0"/>
        <w:rPr>
          <w:sz w:val="10"/>
          <w:lang w:val="fr-FR"/>
        </w:rPr>
      </w:pPr>
      <w:r>
        <w:rPr>
          <w:sz w:val="10"/>
          <w:lang w:val="fr-FR"/>
        </w:rPr>
      </w:r>
    </w:p>
    <w:p>
      <w:pPr>
        <w:pStyle w:val="SingleTxt"/>
        <w:spacing w:lineRule="exact" w:line="120" w:before="0" w:after="0"/>
        <w:rPr>
          <w:sz w:val="10"/>
          <w:lang w:val="fr-FR"/>
        </w:rPr>
      </w:pPr>
      <w:r>
        <w:rPr>
          <w:sz w:val="10"/>
          <w:lang w:val="fr-FR"/>
        </w:rPr>
      </w:r>
    </w:p>
    <w:p>
      <w:pPr>
        <w:pStyle w:val="Sponsors"/>
        <w:ind w:left="1267" w:right="1380" w:hanging="1267"/>
        <w:rPr>
          <w:lang w:val="fr-FR"/>
        </w:rPr>
      </w:pPr>
      <w:r>
        <w:rPr>
          <w:lang w:val="fr-FR"/>
        </w:rPr>
        <w:tab/>
        <w:tab/>
      </w:r>
      <w:r>
        <w:rPr/>
        <w:t>Afghanistan, Albanie, Allemagne, Andorre, Antigua-et-Barbuda, Argentine, Australie, Autriche, Bahamas, Belgique, Belize, Bosnie-Herzégovine, Botswana, Bulgarie, Canada, Chili, Chypre, Colombie, Costa Rica, Croatie, Danemark, Équateur, Espagne, Estonie, États-Unis d’Amérique, Fidji, Finlande, France, Gambie, Géorgie, Ghana, Grèce, Grenade, Guatemala, Guyana, Haïti, Hongrie, Îles Marshall, Indonésie, Irlande, Islande, Israël, Italie, Jamaïque, Japon, Kiribati, Koweït, Lettonie, Libéria, Liechtenstein, Lituanie, Luxembourg, Macédoine du Nord, Malawi, Malte, Micronésie (États fédérés de), Monaco, Monténégro, Myanmar, Niger, Norvège, Nouvelle-Zélande, Palaos, Panama, Papouasie-Nouvelle-Guinée, Paraguay, Pays-Bas, Pérou, Pologne, Portugal, Qatar, République de Corée, République démocratique du Congo, République de Moldova, République dominicaine, Roumanie, Royaume-Uni de Grande-Bretagne et d’Irlande du Nord, Saint-Kitts-et-Nevis, Saint-Marin, Samoa, Singapour, Slovaquie, Slovénie, Suède, Suisse, Suriname, Tchéquie, Timor-Leste, Tonga, Trinité-et-Tobago, Turquie, Tuvalu, Ukraine et Uruguay</w:t>
      </w:r>
      <w:r>
        <w:rPr>
          <w:lang w:val="fr-FR"/>
        </w:rPr>
        <w:t> : projet de résolution</w:t>
      </w:r>
    </w:p>
    <w:p>
      <w:pPr>
        <w:pStyle w:val="SingleTxt"/>
        <w:spacing w:lineRule="exact" w:line="120" w:before="0" w:after="0"/>
        <w:rPr>
          <w:sz w:val="10"/>
          <w:lang w:val="fr-FR"/>
        </w:rPr>
      </w:pPr>
      <w:r>
        <w:rPr>
          <w:sz w:val="10"/>
          <w:lang w:val="fr-FR"/>
        </w:rPr>
      </w:r>
    </w:p>
    <w:p>
      <w:pPr>
        <w:pStyle w:val="SingleTxt"/>
        <w:spacing w:lineRule="exact" w:line="120" w:before="0" w:after="0"/>
        <w:rPr>
          <w:sz w:val="10"/>
          <w:lang w:val="fr-FR"/>
        </w:rPr>
      </w:pPr>
      <w:r>
        <w:rPr>
          <w:sz w:val="10"/>
          <w:lang w:val="fr-FR"/>
        </w:rPr>
      </w:r>
    </w:p>
    <w:p>
      <w:pPr>
        <w:pStyle w:val="TitleH1"/>
        <w:ind w:left="1267" w:right="1260" w:hanging="1267"/>
        <w:rPr>
          <w:lang w:val="fr-FR"/>
        </w:rPr>
      </w:pPr>
      <w:r>
        <w:rPr>
          <w:lang w:val="fr-FR"/>
        </w:rPr>
        <w:tab/>
        <w:tab/>
        <w:t>Agression contre l’Ukraine</w:t>
      </w:r>
    </w:p>
    <w:p>
      <w:pPr>
        <w:pStyle w:val="SingleTxt"/>
        <w:spacing w:lineRule="exact" w:line="120" w:before="0" w:after="0"/>
        <w:rPr>
          <w:sz w:val="10"/>
          <w:lang w:val="fr-FR"/>
        </w:rPr>
      </w:pPr>
      <w:r>
        <w:rPr>
          <w:sz w:val="10"/>
          <w:lang w:val="fr-FR"/>
        </w:rPr>
      </w:r>
    </w:p>
    <w:p>
      <w:pPr>
        <w:pStyle w:val="SingleTxt"/>
        <w:spacing w:lineRule="exact" w:line="120" w:before="0" w:after="0"/>
        <w:rPr>
          <w:sz w:val="10"/>
          <w:lang w:val="fr-FR"/>
        </w:rPr>
      </w:pPr>
      <w:r>
        <w:rPr>
          <w:sz w:val="10"/>
          <w:lang w:val="fr-FR"/>
        </w:rPr>
      </w:r>
    </w:p>
    <w:p>
      <w:pPr>
        <w:pStyle w:val="SingleTxt"/>
        <w:rPr>
          <w:lang w:val="fr-FR"/>
        </w:rPr>
      </w:pPr>
      <w:r>
        <w:rPr>
          <w:i/>
          <w:iCs/>
          <w:lang w:val="fr-FR"/>
        </w:rPr>
        <w:tab/>
        <w:t>L’Assemblée générale,</w:t>
      </w:r>
    </w:p>
    <w:p>
      <w:pPr>
        <w:pStyle w:val="SingleTxt"/>
        <w:rPr>
          <w:lang w:val="fr-FR"/>
        </w:rPr>
      </w:pPr>
      <w:r>
        <w:rPr>
          <w:i/>
          <w:iCs/>
          <w:lang w:val="fr-FR"/>
        </w:rPr>
        <w:tab/>
        <w:t xml:space="preserve">Réaffirmant </w:t>
      </w:r>
      <w:r>
        <w:rPr>
          <w:lang w:val="fr-FR"/>
        </w:rPr>
        <w:t>l’importance primordiale de la Charte des Nations Unies pour la promotion du respect de la légalité parmi les nations,</w:t>
      </w:r>
    </w:p>
    <w:p>
      <w:pPr>
        <w:pStyle w:val="SingleTxt"/>
        <w:rPr>
          <w:lang w:val="fr-FR"/>
        </w:rPr>
      </w:pPr>
      <w:r>
        <w:rPr>
          <w:i/>
          <w:iCs/>
          <w:lang w:val="fr-FR"/>
        </w:rPr>
        <w:tab/>
        <w:t>Rappelant</w:t>
      </w:r>
      <w:r>
        <w:rPr>
          <w:lang w:val="fr-FR"/>
        </w:rPr>
        <w:t xml:space="preserve"> que, en vertu de l’Article 2 de la Charte, tous les États sont tenus de s’abstenir, dans leurs relations internationales, de recourir à la menace ou à l’emploi de la force, soit contre l’intégrité territoriale ou l’indépendance politique de tout État, soit de toute autre manière incompatible avec les buts des Nations Unies, et de régler leurs différends internationaux par des moyens pacifiques,</w:t>
      </w:r>
    </w:p>
    <w:p>
      <w:pPr>
        <w:pStyle w:val="SingleTxt"/>
        <w:rPr>
          <w:lang w:val="fr-FR"/>
        </w:rPr>
      </w:pPr>
      <w:r>
        <w:rPr>
          <w:i/>
          <w:iCs/>
          <w:lang w:val="fr-FR"/>
        </w:rPr>
        <w:tab/>
        <w:t>Rappelant</w:t>
      </w:r>
      <w:r>
        <w:rPr>
          <w:lang w:val="fr-FR"/>
        </w:rPr>
        <w:t xml:space="preserve"> </w:t>
      </w:r>
      <w:r>
        <w:rPr>
          <w:i/>
          <w:iCs/>
          <w:lang w:val="fr-FR"/>
        </w:rPr>
        <w:t>également</w:t>
      </w:r>
      <w:r>
        <w:rPr>
          <w:lang w:val="fr-FR"/>
        </w:rPr>
        <w:t xml:space="preserve"> que, en vertu du paragraphe 2 de l’Article 2 de la Charte, les Membres de l’Organisation, afin d’assurer à tous la jouissance des droits et avantages résultant de leur qualité de Membre, doivent remplir de bonne foi les obligations qu’ils ont assumées aux termes de la Charte,</w:t>
      </w:r>
    </w:p>
    <w:p>
      <w:pPr>
        <w:pStyle w:val="SingleTxt"/>
        <w:rPr/>
      </w:pPr>
      <w:r>
        <w:rPr>
          <w:i/>
          <w:iCs/>
          <w:lang w:val="fr-FR"/>
        </w:rPr>
        <w:tab/>
        <w:t xml:space="preserve">Prenant note </w:t>
      </w:r>
      <w:r>
        <w:rPr>
          <w:lang w:val="fr-FR"/>
        </w:rPr>
        <w:t xml:space="preserve">de la résolution </w:t>
      </w:r>
      <w:hyperlink r:id="rId9">
        <w:r>
          <w:rPr>
            <w:rStyle w:val="LienInternet"/>
            <w:lang w:val="fr-FR"/>
          </w:rPr>
          <w:t>2623 (2022)</w:t>
        </w:r>
      </w:hyperlink>
      <w:r>
        <w:rPr>
          <w:lang w:val="fr-FR"/>
        </w:rPr>
        <w:t xml:space="preserve"> du Conseil de sécurité en date du 27 février 2022, par laquelle celui-ci a convoqué une session extraordinaire d’urgence de l’Assemblée générale pour examiner la question figurant dans le document publié sous la cote </w:t>
      </w:r>
      <w:hyperlink r:id="rId10">
        <w:r>
          <w:rPr>
            <w:rStyle w:val="LienInternet"/>
            <w:lang w:val="fr-FR"/>
          </w:rPr>
          <w:t>S/Agenda/8979</w:t>
        </w:r>
      </w:hyperlink>
      <w:r>
        <w:rPr>
          <w:lang w:val="fr-FR"/>
        </w:rPr>
        <w:t xml:space="preserve">, </w:t>
      </w:r>
    </w:p>
    <w:p>
      <w:pPr>
        <w:pStyle w:val="SingleTxt"/>
        <w:rPr>
          <w:lang w:val="fr-FR"/>
        </w:rPr>
      </w:pPr>
      <w:r>
        <w:rPr>
          <w:i/>
          <w:iCs/>
          <w:lang w:val="fr-FR"/>
        </w:rPr>
        <w:tab/>
        <w:t xml:space="preserve">Rappelant </w:t>
      </w:r>
      <w:r>
        <w:rPr>
          <w:lang w:val="fr-FR"/>
        </w:rPr>
        <w:t>sa résolution 377 A (V) du 3 novembre 1950, intitulée « L’union pour le maintien de la paix », et considérant que l’absence d’unanimité parmi les membres permanents du Conseil de sécurité lors de sa 8979</w:t>
      </w:r>
      <w:r>
        <w:rPr>
          <w:vertAlign w:val="superscript"/>
          <w:lang w:val="fr-FR"/>
        </w:rPr>
        <w:t>e</w:t>
      </w:r>
      <w:r>
        <w:rPr>
          <w:lang w:val="fr-FR"/>
        </w:rPr>
        <w:t xml:space="preserve"> séance a empêché celui-ci d’exercer sa responsabilité principale en matière de maintien de la paix et de la sécurité internationales,</w:t>
      </w:r>
    </w:p>
    <w:p>
      <w:pPr>
        <w:pStyle w:val="SingleTxt"/>
        <w:rPr/>
      </w:pPr>
      <w:r>
        <w:rPr>
          <w:i/>
          <w:iCs/>
          <w:lang w:val="fr-FR"/>
        </w:rPr>
        <w:tab/>
        <w:t>Rappelant également</w:t>
      </w:r>
      <w:r>
        <w:rPr>
          <w:lang w:val="fr-FR"/>
        </w:rPr>
        <w:t xml:space="preserve"> sa résolution </w:t>
      </w:r>
      <w:hyperlink r:id="rId11">
        <w:r>
          <w:rPr>
            <w:rStyle w:val="LienInternet"/>
            <w:lang w:val="fr-FR"/>
          </w:rPr>
          <w:t>2625 (XXV)</w:t>
        </w:r>
      </w:hyperlink>
      <w:r>
        <w:rPr>
          <w:lang w:val="fr-FR"/>
        </w:rPr>
        <w:t xml:space="preserve"> du 24 octobre 1970, par laquelle elle a approuvé la Déclaration relative aux principes du droit international touchant les relations amicales et la coopération entre les États conformément à la Charte des Nations Unies, et réaffirmant les principes qui y sont énoncés, à savoir que le territoire d’un État ne saurait faire l’objet d’une acquisition par un autre État à la suite du recours à la menace ou à l’emploi de la force, et que toute action visant à rompre partiellement ou totalement l’unité nationale, l’intégrité territoriale ou l’indépendance politique d’un État ou d’un pays est incompatible avec les buts et les principes de la Charte,</w:t>
      </w:r>
    </w:p>
    <w:p>
      <w:pPr>
        <w:pStyle w:val="SingleTxt"/>
        <w:rPr/>
      </w:pPr>
      <w:r>
        <w:rPr>
          <w:i/>
          <w:iCs/>
          <w:lang w:val="fr-FR"/>
        </w:rPr>
        <w:tab/>
        <w:t>Rappelant en outre</w:t>
      </w:r>
      <w:r>
        <w:rPr>
          <w:lang w:val="fr-FR"/>
        </w:rPr>
        <w:t xml:space="preserve"> sa résolution </w:t>
      </w:r>
      <w:hyperlink r:id="rId12">
        <w:r>
          <w:rPr>
            <w:rStyle w:val="LienInternet"/>
            <w:lang w:val="fr-FR"/>
          </w:rPr>
          <w:t>3314 (XXIX)</w:t>
        </w:r>
      </w:hyperlink>
      <w:r>
        <w:rPr>
          <w:lang w:val="fr-FR"/>
        </w:rPr>
        <w:t xml:space="preserve"> du 14 décembre 1974, dans laquelle elle a défini l’agression comme l’emploi de la force armée par un État contre la souveraineté, l’intégrité territoriale ou l’indépendance politique d’un autre État, ou de toute autre manière incompatible avec la Charte,</w:t>
      </w:r>
    </w:p>
    <w:p>
      <w:pPr>
        <w:pStyle w:val="SingleTxt"/>
        <w:rPr>
          <w:lang w:val="fr-FR"/>
        </w:rPr>
      </w:pPr>
      <w:r>
        <w:rPr>
          <w:i/>
          <w:iCs/>
          <w:lang w:val="fr-FR"/>
        </w:rPr>
        <w:tab/>
        <w:t>Ayant à l’esprit</w:t>
      </w:r>
      <w:r>
        <w:rPr>
          <w:lang w:val="fr-FR"/>
        </w:rPr>
        <w:t xml:space="preserve"> qu’il importe de maintenir et de consolider la paix internationale, qui repose sur la liberté, l’égalité, la justice et le respect des droits humains, et de développer des relations amicales entre les nations, quel que soit leur système politique, économique ou social ou leur niveau de développement,</w:t>
      </w:r>
    </w:p>
    <w:p>
      <w:pPr>
        <w:pStyle w:val="SingleTxt"/>
        <w:rPr>
          <w:lang w:val="fr-FR"/>
        </w:rPr>
      </w:pPr>
      <w:r>
        <w:rPr>
          <w:i/>
          <w:iCs/>
          <w:lang w:val="fr-FR"/>
        </w:rPr>
        <w:tab/>
        <w:t xml:space="preserve">Rappelant </w:t>
      </w:r>
      <w:r>
        <w:rPr>
          <w:lang w:val="fr-FR"/>
        </w:rPr>
        <w:t>l’Acte final de la Conférence sur la sécurité et la coopération en Europe, signé à Helsinki le 1</w:t>
      </w:r>
      <w:r>
        <w:rPr>
          <w:vertAlign w:val="superscript"/>
          <w:lang w:val="fr-FR"/>
        </w:rPr>
        <w:t>er</w:t>
      </w:r>
      <w:r>
        <w:rPr>
          <w:lang w:val="fr-FR"/>
        </w:rPr>
        <w:t xml:space="preserve"> août 1975, et le Mémorandum concernant les garanties de sécurité liées à l’adhésion de l’Ukraine au Traité sur la non-prolifération des armes nucléaires (Mémorandum de Budapest) du 5 décembre 1994, </w:t>
      </w:r>
    </w:p>
    <w:p>
      <w:pPr>
        <w:pStyle w:val="SingleTxt"/>
        <w:rPr>
          <w:lang w:val="fr-FR"/>
        </w:rPr>
      </w:pPr>
      <w:r>
        <w:rPr>
          <w:i/>
          <w:iCs/>
          <w:lang w:val="fr-FR"/>
        </w:rPr>
        <w:tab/>
        <w:t xml:space="preserve">Condamnant </w:t>
      </w:r>
      <w:r>
        <w:rPr>
          <w:lang w:val="fr-FR"/>
        </w:rPr>
        <w:t xml:space="preserve">la déclaration du 24 février 2022 dans laquelle la Fédération de Russie a annoncé le lancement d’une « opération militaire spéciale » en Ukraine, </w:t>
      </w:r>
    </w:p>
    <w:p>
      <w:pPr>
        <w:pStyle w:val="SingleTxt"/>
        <w:rPr>
          <w:lang w:val="fr-FR"/>
        </w:rPr>
      </w:pPr>
      <w:r>
        <w:rPr>
          <w:i/>
          <w:iCs/>
          <w:lang w:val="fr-FR"/>
        </w:rPr>
        <w:tab/>
        <w:t xml:space="preserve">Réaffirmant </w:t>
      </w:r>
      <w:r>
        <w:rPr>
          <w:lang w:val="fr-FR"/>
        </w:rPr>
        <w:t>que nulle acquisition territoriale obtenue par la menace ou l’emploi de la force ne sera reconnue comme légale,</w:t>
      </w:r>
    </w:p>
    <w:p>
      <w:pPr>
        <w:pStyle w:val="SingleTxt"/>
        <w:rPr>
          <w:lang w:val="fr-FR"/>
        </w:rPr>
      </w:pPr>
      <w:r>
        <w:rPr>
          <w:i/>
          <w:iCs/>
          <w:lang w:val="fr-FR"/>
        </w:rPr>
        <w:tab/>
        <w:t xml:space="preserve">Se déclarant gravement préoccupée </w:t>
      </w:r>
      <w:r>
        <w:rPr>
          <w:lang w:val="fr-FR"/>
        </w:rPr>
        <w:t xml:space="preserve">par les informations faisant état d’attaques contre des établissements civils tels que des logements, des écoles et des hôpitaux, ainsi que de victimes civiles, dont des femmes, des personnes âgées, des personnes en situation de handicap et des enfants, </w:t>
      </w:r>
    </w:p>
    <w:p>
      <w:pPr>
        <w:pStyle w:val="SingleTxt"/>
        <w:rPr>
          <w:lang w:val="fr-FR"/>
        </w:rPr>
      </w:pPr>
      <w:r>
        <w:rPr>
          <w:i/>
          <w:iCs/>
          <w:lang w:val="fr-FR"/>
        </w:rPr>
        <w:tab/>
        <w:t>Constatant</w:t>
      </w:r>
      <w:r>
        <w:rPr>
          <w:lang w:val="fr-FR"/>
        </w:rPr>
        <w:t xml:space="preserve"> que les opérations militaires russes menées à l’intérieur du territoire souverain de l’Ukraine auxquelles la communauté internationale assiste sont d’une ampleur jamais vue en Europe depuis des décennies et considérant que des mesures doivent être prises d’urgence pour sauver cette génération du fléau de la guerre,</w:t>
      </w:r>
    </w:p>
    <w:p>
      <w:pPr>
        <w:pStyle w:val="SingleTxt"/>
        <w:rPr>
          <w:lang w:val="fr-FR"/>
        </w:rPr>
      </w:pPr>
      <w:r>
        <w:rPr>
          <w:i/>
          <w:iCs/>
          <w:lang w:val="fr-FR"/>
        </w:rPr>
        <w:tab/>
        <w:t>Faisant sienne</w:t>
      </w:r>
      <w:r>
        <w:rPr>
          <w:lang w:val="fr-FR"/>
        </w:rPr>
        <w:t xml:space="preserve"> la déclaration du Secrétaire général en date 24 février 2022, dans laquelle celui-ci a rappelé que l’emploi de la force par un pays contre un autre était une répudiation des principes que tout pays s’était engagé à respecter et que l’offensive militaire actuelle de la Fédération de Russie était contraire à la Charte des Nations Unies,</w:t>
      </w:r>
    </w:p>
    <w:p>
      <w:pPr>
        <w:pStyle w:val="SingleTxt"/>
        <w:rPr>
          <w:lang w:val="fr-FR"/>
        </w:rPr>
      </w:pPr>
      <w:r>
        <w:rPr>
          <w:i/>
          <w:iCs/>
          <w:lang w:val="fr-FR"/>
        </w:rPr>
        <w:tab/>
        <w:t xml:space="preserve">Condamnant </w:t>
      </w:r>
      <w:r>
        <w:rPr>
          <w:lang w:val="fr-FR"/>
        </w:rPr>
        <w:t>la décision de la Fédération de Russie d’augmenter le niveau de préparation de ses forces nucléaires,</w:t>
      </w:r>
    </w:p>
    <w:p>
      <w:pPr>
        <w:pStyle w:val="SingleTxt"/>
        <w:rPr>
          <w:lang w:val="fr-FR"/>
        </w:rPr>
      </w:pPr>
      <w:r>
        <w:rPr>
          <w:i/>
          <w:iCs/>
          <w:lang w:val="fr-FR"/>
        </w:rPr>
        <w:tab/>
        <w:t>Se déclarant gravement préoccupée</w:t>
      </w:r>
      <w:r>
        <w:rPr>
          <w:lang w:val="fr-FR"/>
        </w:rPr>
        <w:t xml:space="preserve"> par la détérioration de la situation humanitaire en Ukraine et aux alentours, qui se traduit par un accroissement du nombre de déplacés et de réfugiés ayant besoin d’une aide humanitaire,</w:t>
      </w:r>
    </w:p>
    <w:p>
      <w:pPr>
        <w:pStyle w:val="SingleTxt"/>
        <w:rPr>
          <w:lang w:val="fr-FR"/>
        </w:rPr>
      </w:pPr>
      <w:r>
        <w:rPr>
          <w:i/>
          <w:iCs/>
          <w:lang w:val="fr-FR"/>
        </w:rPr>
        <w:tab/>
        <w:t>Se déclarant préoccupée également</w:t>
      </w:r>
      <w:r>
        <w:rPr>
          <w:lang w:val="fr-FR"/>
        </w:rPr>
        <w:t xml:space="preserve"> par le fait que le conflit pourrait exacerber l’insécurité alimentaire à l’échelle planétaire, l’Ukraine et la région étant parmi les plus gros exportateurs mondiaux de céréales et de produits agricoles, alors que des millions de personnes sont en proie à la famine ou exposées à un risque immédiat de famine ou à une grave insécurité alimentaire dans plusieurs régions du monde, et avoir des répercussions sur la sécurité énergétique,</w:t>
      </w:r>
    </w:p>
    <w:p>
      <w:pPr>
        <w:pStyle w:val="SingleTxt"/>
        <w:rPr>
          <w:lang w:val="fr-FR"/>
        </w:rPr>
      </w:pPr>
      <w:r>
        <w:rPr>
          <w:i/>
          <w:iCs/>
          <w:lang w:val="fr-FR"/>
        </w:rPr>
        <w:tab/>
        <w:t xml:space="preserve">Se félicitant </w:t>
      </w:r>
      <w:r>
        <w:rPr>
          <w:lang w:val="fr-FR"/>
        </w:rPr>
        <w:t>des efforts incessants que déploient le Secrétaire général, l’Organisation pour la sécurité et la coopération en Europe et d’autres organisations internationales et régionales pour désamorcer la situation concernant l’Ukraine, et encourageant la poursuite du dialogue,</w:t>
      </w:r>
    </w:p>
    <w:p>
      <w:pPr>
        <w:pStyle w:val="SingleTxt"/>
        <w:rPr>
          <w:lang w:val="fr-FR"/>
        </w:rPr>
      </w:pPr>
      <w:r>
        <w:rPr>
          <w:lang w:val="fr-FR"/>
        </w:rPr>
        <w:tab/>
        <w:t>1.</w:t>
        <w:tab/>
      </w:r>
      <w:r>
        <w:rPr>
          <w:i/>
          <w:iCs/>
          <w:lang w:val="fr-FR"/>
        </w:rPr>
        <w:t xml:space="preserve">Réaffirme </w:t>
      </w:r>
      <w:r>
        <w:rPr>
          <w:lang w:val="fr-FR"/>
        </w:rPr>
        <w:t xml:space="preserve">son engagement envers la souveraineté, l’indépendance, l’unité et l’intégrité territoriale de l’Ukraine à l’intérieur de ses frontières internationalement reconnues, s’étendant à ses eaux territoriales ; </w:t>
      </w:r>
    </w:p>
    <w:p>
      <w:pPr>
        <w:pStyle w:val="SingleTxt"/>
        <w:rPr>
          <w:lang w:val="fr-FR"/>
        </w:rPr>
      </w:pPr>
      <w:r>
        <w:rPr>
          <w:lang w:val="fr-FR"/>
        </w:rPr>
        <w:tab/>
        <w:t>2.</w:t>
        <w:tab/>
      </w:r>
      <w:r>
        <w:rPr>
          <w:i/>
          <w:iCs/>
          <w:lang w:val="fr-FR"/>
        </w:rPr>
        <w:t>Déplore</w:t>
      </w:r>
      <w:r>
        <w:rPr>
          <w:lang w:val="fr-FR"/>
        </w:rPr>
        <w:t xml:space="preserve"> dans les termes les plus énergiques l’agression commise par la Fédération de Russie contre l’Ukraine en violation du paragraphe 4 de l’Article 2 de la Charte ;</w:t>
      </w:r>
    </w:p>
    <w:p>
      <w:pPr>
        <w:pStyle w:val="SingleTxt"/>
        <w:rPr>
          <w:lang w:val="fr-FR"/>
        </w:rPr>
      </w:pPr>
      <w:r>
        <w:rPr>
          <w:lang w:val="fr-FR"/>
        </w:rPr>
        <w:tab/>
        <w:t>3.</w:t>
        <w:tab/>
      </w:r>
      <w:r>
        <w:rPr>
          <w:i/>
          <w:iCs/>
          <w:lang w:val="fr-FR"/>
        </w:rPr>
        <w:t xml:space="preserve">Exige </w:t>
      </w:r>
      <w:r>
        <w:rPr>
          <w:lang w:val="fr-FR"/>
        </w:rPr>
        <w:t xml:space="preserve">que la Fédération de Russie cesse immédiatement d’employer la force contre l’Ukraine et s’abstienne de tout nouveau recours illicite à la menace ou à l’emploi de la force contre tout État Membre ; </w:t>
      </w:r>
    </w:p>
    <w:p>
      <w:pPr>
        <w:pStyle w:val="SingleTxt"/>
        <w:rPr>
          <w:lang w:val="fr-FR"/>
        </w:rPr>
      </w:pPr>
      <w:r>
        <w:rPr>
          <w:lang w:val="fr-FR"/>
        </w:rPr>
        <w:tab/>
        <w:t>4.</w:t>
        <w:tab/>
      </w:r>
      <w:r>
        <w:rPr>
          <w:i/>
          <w:iCs/>
          <w:lang w:val="fr-FR"/>
        </w:rPr>
        <w:t xml:space="preserve">Exige </w:t>
      </w:r>
      <w:r>
        <w:rPr>
          <w:lang w:val="fr-FR"/>
        </w:rPr>
        <w:t>également que la Fédération de Russie retire immédiatement, complètement et sans condition toutes ses forces militaires du territoire ukrainien à l’intérieur des frontières internationalement reconnues du pays ;</w:t>
      </w:r>
    </w:p>
    <w:p>
      <w:pPr>
        <w:pStyle w:val="SingleTxt"/>
        <w:rPr>
          <w:lang w:val="fr-FR"/>
        </w:rPr>
      </w:pPr>
      <w:r>
        <w:rPr>
          <w:lang w:val="fr-FR"/>
        </w:rPr>
        <w:tab/>
        <w:t>5.</w:t>
        <w:tab/>
      </w:r>
      <w:r>
        <w:rPr>
          <w:i/>
          <w:iCs/>
          <w:lang w:val="fr-FR"/>
        </w:rPr>
        <w:t xml:space="preserve">Déplore </w:t>
      </w:r>
      <w:r>
        <w:rPr>
          <w:lang w:val="fr-FR"/>
        </w:rPr>
        <w:t xml:space="preserve">la décision prise le 21 février 2022 par la Fédération de Russie concernant le statut de certaines zones des régions ukrainiennes de Donetsk et de Louhansk, qui constitue une violation de l’intégrité territoriale et de la souveraineté de l’Ukraine et contrevient aux principes de la Charte ; </w:t>
      </w:r>
    </w:p>
    <w:p>
      <w:pPr>
        <w:pStyle w:val="SingleTxt"/>
        <w:rPr>
          <w:lang w:val="fr-FR"/>
        </w:rPr>
      </w:pPr>
      <w:r>
        <w:rPr>
          <w:lang w:val="fr-FR"/>
        </w:rPr>
        <w:tab/>
        <w:t>6.</w:t>
        <w:tab/>
      </w:r>
      <w:r>
        <w:rPr>
          <w:i/>
          <w:iCs/>
          <w:lang w:val="fr-FR"/>
        </w:rPr>
        <w:t xml:space="preserve">Exige </w:t>
      </w:r>
      <w:r>
        <w:rPr>
          <w:lang w:val="fr-FR"/>
        </w:rPr>
        <w:t>que la Fédération de Russie revienne immédiatement et sans condition sur sa décision relative au statut de certaines zones des régions ukrainiennes de Donetsk et de Louhansk ;</w:t>
      </w:r>
    </w:p>
    <w:p>
      <w:pPr>
        <w:pStyle w:val="SingleTxt"/>
        <w:rPr>
          <w:lang w:val="fr-FR"/>
        </w:rPr>
      </w:pPr>
      <w:r>
        <w:rPr>
          <w:lang w:val="fr-FR"/>
        </w:rPr>
        <w:tab/>
        <w:t>7.</w:t>
        <w:tab/>
      </w:r>
      <w:r>
        <w:rPr>
          <w:i/>
          <w:iCs/>
          <w:lang w:val="fr-FR"/>
        </w:rPr>
        <w:t xml:space="preserve">Demande </w:t>
      </w:r>
      <w:r>
        <w:rPr>
          <w:lang w:val="fr-FR"/>
        </w:rPr>
        <w:t>à</w:t>
      </w:r>
      <w:r>
        <w:rPr>
          <w:i/>
          <w:iCs/>
          <w:lang w:val="fr-FR"/>
        </w:rPr>
        <w:t xml:space="preserve"> </w:t>
      </w:r>
      <w:r>
        <w:rPr>
          <w:lang w:val="fr-FR"/>
        </w:rPr>
        <w:t>la Fédération de Russie de se conformer aux principes énoncés dans la Charte et dans la Déclaration relative aux principes du droit international touchant les relations amicales et la coopération entre les États conformément à la Charte des Nations Unies</w:t>
      </w:r>
      <w:r>
        <w:rPr>
          <w:rStyle w:val="Ancredenotedebasdepage"/>
          <w:vertAlign w:val="superscript"/>
          <w:lang w:val="fr-FR"/>
        </w:rPr>
        <w:footnoteReference w:id="2"/>
      </w:r>
      <w:r>
        <w:rPr>
          <w:lang w:val="fr-FR"/>
        </w:rPr>
        <w:t xml:space="preserve"> ; </w:t>
      </w:r>
    </w:p>
    <w:p>
      <w:pPr>
        <w:pStyle w:val="SingleTxt"/>
        <w:rPr>
          <w:lang w:val="fr-FR"/>
        </w:rPr>
      </w:pPr>
      <w:r>
        <w:rPr>
          <w:lang w:val="fr-FR"/>
        </w:rPr>
        <w:tab/>
        <w:t>8.</w:t>
        <w:tab/>
      </w:r>
      <w:r>
        <w:rPr>
          <w:i/>
          <w:iCs/>
          <w:lang w:val="fr-FR"/>
        </w:rPr>
        <w:t>Exhorte</w:t>
      </w:r>
      <w:r>
        <w:rPr>
          <w:lang w:val="fr-FR"/>
        </w:rPr>
        <w:t xml:space="preserve"> les parties à respecter les accords de Minsk et à œuvrer de manière constructive dans les cadres internationaux pertinents, notamment le format normand et le Groupe de contact trilatéral, en vue de leur pleine application ;</w:t>
      </w:r>
    </w:p>
    <w:p>
      <w:pPr>
        <w:pStyle w:val="SingleTxt"/>
        <w:rPr>
          <w:lang w:val="fr-FR"/>
        </w:rPr>
      </w:pPr>
      <w:r>
        <w:rPr>
          <w:lang w:val="fr-FR"/>
        </w:rPr>
        <w:tab/>
        <w:t>9.</w:t>
        <w:tab/>
      </w:r>
      <w:r>
        <w:rPr>
          <w:i/>
          <w:iCs/>
          <w:lang w:val="fr-FR"/>
        </w:rPr>
        <w:t xml:space="preserve">Demande instamment </w:t>
      </w:r>
      <w:r>
        <w:rPr>
          <w:lang w:val="fr-FR"/>
        </w:rPr>
        <w:t>à toutes les parties de permettre des voies de sortie sûres et sans restrictions du territoire ukrainien et de faciliter l’acheminement rapide, en toute sécurité et sans entrave, de l’aide humanitaire aux personnes qui en ont besoin en Ukraine, de protéger les civils, notamment le personnel humanitaire et les personnes en situation vulnérable, en particulier les femmes, les personnes âgées, les personnes en situation de handicap, les peuples autochtones, les personnes migrantes et les enfants, et de respecter les droits humains ;</w:t>
      </w:r>
    </w:p>
    <w:p>
      <w:pPr>
        <w:pStyle w:val="SingleTxt"/>
        <w:rPr>
          <w:lang w:val="fr-FR"/>
        </w:rPr>
      </w:pPr>
      <w:r>
        <w:rPr>
          <w:lang w:val="fr-FR"/>
        </w:rPr>
        <w:tab/>
        <w:t>10.</w:t>
        <w:tab/>
      </w:r>
      <w:r>
        <w:rPr>
          <w:i/>
          <w:iCs/>
          <w:lang w:val="fr-FR"/>
        </w:rPr>
        <w:t>Déplore</w:t>
      </w:r>
      <w:r>
        <w:rPr>
          <w:lang w:val="fr-FR"/>
        </w:rPr>
        <w:t xml:space="preserve"> que le Bélarus se soit associé à ce recours illégal à la force contre l’Ukraine et lui demande de respecter ses obligations internationales ;</w:t>
      </w:r>
    </w:p>
    <w:p>
      <w:pPr>
        <w:pStyle w:val="SingleTxt"/>
        <w:rPr>
          <w:lang w:val="fr-FR"/>
        </w:rPr>
      </w:pPr>
      <w:r>
        <w:rPr>
          <w:lang w:val="fr-FR"/>
        </w:rPr>
        <w:tab/>
        <w:t>11.</w:t>
        <w:tab/>
      </w:r>
      <w:r>
        <w:rPr>
          <w:i/>
          <w:iCs/>
          <w:lang w:val="fr-FR"/>
        </w:rPr>
        <w:t>Condamne</w:t>
      </w:r>
      <w:r>
        <w:rPr>
          <w:lang w:val="fr-FR"/>
        </w:rPr>
        <w:t xml:space="preserve"> toutes les violations du droit international humanitaire, les violations des droits humains et les atteintes à ces droits, et engage toutes les parties à respecter strictement les dispositions applicables du droit international humanitaire, notamment les Conventions de Genève de 1949</w:t>
      </w:r>
      <w:r>
        <w:rPr>
          <w:rStyle w:val="Ancredenotedebasdepage"/>
          <w:vertAlign w:val="superscript"/>
          <w:lang w:val="fr-FR"/>
        </w:rPr>
        <w:footnoteReference w:id="3"/>
      </w:r>
      <w:r>
        <w:rPr>
          <w:lang w:val="fr-FR"/>
        </w:rPr>
        <w:t xml:space="preserve"> et le Protocole additionnel I de 1977 s’y rapportant</w:t>
      </w:r>
      <w:r>
        <w:rPr>
          <w:rStyle w:val="Ancredenotedebasdepage"/>
          <w:vertAlign w:val="superscript"/>
          <w:lang w:val="fr-FR"/>
        </w:rPr>
        <w:footnoteReference w:id="4"/>
      </w:r>
      <w:r>
        <w:rPr>
          <w:lang w:val="fr-FR"/>
        </w:rPr>
        <w:t>, selon qu’il conviendra, et à respecter le droit international des droits de l’homme, et, à cet égard, enjoint à toutes les parties de garantir le respect et la protection de l’ensemble du personnel médical et des agents humanitaires dont l’activité est d’ordre exclusivement médical, de leurs moyens de transport et de leur matériel, ainsi que des hôpitaux et des autres installations médicales ;</w:t>
      </w:r>
    </w:p>
    <w:p>
      <w:pPr>
        <w:pStyle w:val="SingleTxt"/>
        <w:rPr>
          <w:lang w:val="fr-FR"/>
        </w:rPr>
      </w:pPr>
      <w:r>
        <w:rPr>
          <w:lang w:val="fr-FR"/>
        </w:rPr>
        <w:tab/>
        <w:t>12.</w:t>
        <w:tab/>
      </w:r>
      <w:r>
        <w:rPr>
          <w:i/>
          <w:iCs/>
          <w:lang w:val="fr-FR"/>
        </w:rPr>
        <w:t xml:space="preserve">Exige </w:t>
      </w:r>
      <w:r>
        <w:rPr>
          <w:lang w:val="fr-FR"/>
        </w:rPr>
        <w:t>de toutes les parties qu’elles respectent pleinement les obligations que leur impose le droit international humanitaire, à savoir bien veiller à épargner la population civile et les biens de caractère civil, s’abstenir d’attaquer, de détruire, d’enlever ou de mettre hors d’usage des biens indispensables à la survie de la population civile, et respecter et protéger le personnel humanitaire et les articles destinés aux opérations de secours humanitaire ;</w:t>
      </w:r>
    </w:p>
    <w:p>
      <w:pPr>
        <w:pStyle w:val="SingleTxt"/>
        <w:rPr>
          <w:lang w:val="fr-FR"/>
        </w:rPr>
      </w:pPr>
      <w:r>
        <w:rPr>
          <w:lang w:val="fr-FR"/>
        </w:rPr>
        <w:tab/>
        <w:t>13.</w:t>
        <w:tab/>
      </w:r>
      <w:r>
        <w:rPr>
          <w:i/>
          <w:iCs/>
          <w:lang w:val="fr-FR"/>
        </w:rPr>
        <w:t>Prie</w:t>
      </w:r>
      <w:r>
        <w:rPr>
          <w:lang w:val="fr-FR"/>
        </w:rPr>
        <w:t xml:space="preserve"> le Coordonnateur des secours d’urgence de fournir, 30 jours après l’adoption de la présente résolution, un rapport sur la situation humanitaire en Ukraine et sur l’action humanitaire ;</w:t>
      </w:r>
    </w:p>
    <w:p>
      <w:pPr>
        <w:pStyle w:val="SingleTxt"/>
        <w:rPr>
          <w:lang w:val="fr-FR"/>
        </w:rPr>
      </w:pPr>
      <w:r>
        <w:rPr>
          <w:lang w:val="fr-FR"/>
        </w:rPr>
        <w:tab/>
        <w:t>14.</w:t>
        <w:tab/>
      </w:r>
      <w:r>
        <w:rPr>
          <w:i/>
          <w:iCs/>
          <w:lang w:val="fr-FR"/>
        </w:rPr>
        <w:t>Demande instamment</w:t>
      </w:r>
      <w:r>
        <w:rPr>
          <w:lang w:val="fr-FR"/>
        </w:rPr>
        <w:t xml:space="preserve"> que le conflit entre la Fédération de Russie et l’Ukraine soit immédiatement réglé de manière pacifique par le dialogue, la négociation, la médiation et d’autres moyens pacifiques ;</w:t>
      </w:r>
    </w:p>
    <w:p>
      <w:pPr>
        <w:pStyle w:val="SingleTxt"/>
        <w:rPr>
          <w:lang w:val="fr-FR"/>
        </w:rPr>
      </w:pPr>
      <w:r>
        <w:rPr>
          <w:lang w:val="fr-FR"/>
        </w:rPr>
        <w:tab/>
        <w:t>15.</w:t>
        <w:tab/>
      </w:r>
      <w:r>
        <w:rPr>
          <w:i/>
          <w:iCs/>
          <w:lang w:val="fr-FR"/>
        </w:rPr>
        <w:t>Se félicite</w:t>
      </w:r>
      <w:r>
        <w:rPr>
          <w:lang w:val="fr-FR"/>
        </w:rPr>
        <w:t xml:space="preserve"> des efforts soutenus déployés par le Secrétaire général, les États Membres, l’Organisation pour la sécurité et la coopération en Europe et d’autres organisations internationales et régionales pour désamorcer la situation actuelle, ainsi que des mesures prises par l’Organisation des Nations Unies, notamment par le Coordonnateur des Nations Unies pour la crise en Ukraine, et par les organisations humanitaires pour intervenir face à la crise humanitaire et à la crise des réfugiés engendrées par l’agression de la Fédération de Russie, et encourage la poursuite de ces efforts ;</w:t>
      </w:r>
    </w:p>
    <w:p>
      <w:pPr>
        <w:pStyle w:val="SingleTxt"/>
        <w:rPr>
          <w:lang w:val="fr-FR"/>
        </w:rPr>
      </w:pPr>
      <w:r>
        <w:rPr>
          <w:lang w:val="fr-FR"/>
        </w:rPr>
        <w:tab/>
        <w:t>16.</w:t>
        <w:tab/>
      </w:r>
      <w:r>
        <w:rPr>
          <w:i/>
          <w:iCs/>
          <w:lang w:val="fr-FR"/>
        </w:rPr>
        <w:t>Décide</w:t>
      </w:r>
      <w:r>
        <w:rPr>
          <w:lang w:val="fr-FR"/>
        </w:rPr>
        <w:t xml:space="preserve"> d’ajourner à titre provisoire sa onzième session extraordinaire d’urgence et d’autoriser son président à la rouvrir à la demande des États Membres.</w:t>
      </w:r>
    </w:p>
    <w:p>
      <w:pPr>
        <w:pStyle w:val="SingleTxt"/>
        <w:spacing w:lineRule="auto" w:line="240" w:before="0" w:after="0"/>
        <w:rPr/>
      </w:pPr>
      <w:r>
        <w:rPr/>
        <mc:AlternateContent>
          <mc:Choice Requires="wps">
            <w:drawing>
              <wp:anchor behindDoc="0" distT="0" distB="0" distL="0" distR="0" simplePos="0" locked="0" layoutInCell="1" allowOverlap="1" relativeHeight="3" wp14:anchorId="19AA140F">
                <wp:simplePos x="0" y="0"/>
                <wp:positionH relativeFrom="page">
                  <wp:posOffset>3429000</wp:posOffset>
                </wp:positionH>
                <wp:positionV relativeFrom="paragraph">
                  <wp:posOffset>304800</wp:posOffset>
                </wp:positionV>
                <wp:extent cx="915670" cy="1270"/>
                <wp:effectExtent l="0" t="0" r="0" b="0"/>
                <wp:wrapNone/>
                <wp:docPr id="4" name="Straight Connector 5"/>
                <a:graphic xmlns:a="http://schemas.openxmlformats.org/drawingml/2006/main">
                  <a:graphicData uri="http://schemas.microsoft.com/office/word/2010/wordprocessingShape">
                    <wps:wsp>
                      <wps:cNvSpPr/>
                      <wps:spPr>
                        <a:xfrm>
                          <a:off x="0" y="0"/>
                          <a:ext cx="915120" cy="0"/>
                        </a:xfrm>
                        <a:prstGeom prst="line">
                          <a:avLst/>
                        </a:prstGeom>
                        <a:ln w="3240">
                          <a:solidFill>
                            <a:srgbClr val="01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70pt,24pt" to="342pt,24pt" ID="Straight Connector 5" stroked="t" style="position:absolute;mso-position-horizontal-relative:page" wp14:anchorId="19AA140F">
                <v:stroke color="#010000" weight="3240" joinstyle="round" endcap="flat"/>
                <v:fill o:detectmouseclick="t" on="false"/>
              </v:line>
            </w:pict>
          </mc:Fallback>
        </mc:AlternateContent>
      </w:r>
    </w:p>
    <w:sectPr>
      <w:footnotePr>
        <w:numFmt w:val="decimal"/>
      </w:footnotePr>
      <w:type w:val="continuous"/>
      <w:pgSz w:w="12240" w:h="15840"/>
      <w:pgMar w:left="1200" w:right="1200" w:header="432" w:top="1440" w:footer="576" w:bottom="1728"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marge tawagan">
    <w:charset w:val="00"/>
    <w:family w:val="roman"/>
    <w:pitch w:val="variable"/>
  </w:font>
  <w:font w:name="Barcode 3 of 9 by reques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bidiVisual w:val="true"/>
      <w:tblW w:w="9840" w:type="dxa"/>
      <w:jc w:val="left"/>
      <w:tblInd w:w="0" w:type="dxa"/>
      <w:tblCellMar>
        <w:top w:w="0" w:type="dxa"/>
        <w:left w:w="0" w:type="dxa"/>
        <w:bottom w:w="0" w:type="dxa"/>
        <w:right w:w="0" w:type="dxa"/>
      </w:tblCellMar>
      <w:tblLook w:firstRow="0" w:noVBand="0" w:lastRow="0" w:firstColumn="0" w:lastColumn="0" w:noHBand="0" w:val="0000"/>
    </w:tblPr>
    <w:tblGrid>
      <w:gridCol w:w="4920"/>
      <w:gridCol w:w="4919"/>
    </w:tblGrid>
    <w:tr>
      <w:trPr/>
      <w:tc>
        <w:tcPr>
          <w:tcW w:w="4920" w:type="dxa"/>
          <w:tcBorders/>
          <w:shd w:color="auto" w:fill="auto" w:val="clear"/>
        </w:tcPr>
        <w:p>
          <w:pPr>
            <w:pStyle w:val="Pieddepage"/>
            <w:jc w:val="right"/>
            <w:rPr/>
          </w:pPr>
          <w:r>
            <w:rPr>
              <w:b w:val="false"/>
              <w:w w:val="103"/>
              <w:sz w:val="14"/>
            </w:rPr>
            <w:t xml:space="preserve">Champ d'utilisateur FooterJN = </w:t>
          </w:r>
        </w:p>
      </w:tc>
      <w:tc>
        <w:tcPr>
          <w:tcW w:w="4919" w:type="dxa"/>
          <w:tcBorders/>
          <w:shd w:color="auto" w:fill="auto" w:val="clear"/>
        </w:tcPr>
        <w:p>
          <w:pPr>
            <w:pStyle w:val="Pieddepage"/>
            <w:rPr/>
          </w:pPr>
          <w:r>
            <w:rPr>
              <w:w w:val="103"/>
            </w:rPr>
            <w:fldChar w:fldCharType="begin"/>
          </w:r>
          <w:r>
            <w:rPr>
              <w:w w:val="103"/>
            </w:rPr>
            <w:instrText> PAGE </w:instrText>
          </w:r>
          <w:r>
            <w:rPr>
              <w:w w:val="103"/>
            </w:rPr>
            <w:fldChar w:fldCharType="separate"/>
          </w:r>
          <w:r>
            <w:rPr>
              <w:w w:val="103"/>
            </w:rPr>
            <w:t>4</w:t>
          </w:r>
          <w:r>
            <w:rPr>
              <w:w w:val="103"/>
            </w:rPr>
            <w:fldChar w:fldCharType="end"/>
          </w:r>
          <w:r>
            <w:rPr>
              <w:w w:val="103"/>
            </w:rPr>
            <w:t>/</w:t>
          </w:r>
          <w:r>
            <w:rPr>
              <w:w w:val="103"/>
            </w:rPr>
            <w:fldChar w:fldCharType="begin"/>
          </w:r>
          <w:r>
            <w:rPr>
              <w:w w:val="103"/>
            </w:rPr>
            <w:instrText> NUMPAGES </w:instrText>
          </w:r>
          <w:r>
            <w:rPr>
              <w:w w:val="103"/>
            </w:rPr>
            <w:fldChar w:fldCharType="separate"/>
          </w:r>
          <w:r>
            <w:rPr>
              <w:w w:val="103"/>
            </w:rPr>
            <w:t>4</w:t>
          </w:r>
          <w:r>
            <w:rPr>
              <w:w w:val="103"/>
            </w:rPr>
            <w:fldChar w:fldCharType="end"/>
          </w:r>
        </w:p>
      </w:tc>
    </w:tr>
  </w:tbl>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bidiVisual w:val="true"/>
      <w:tblW w:w="9840" w:type="dxa"/>
      <w:jc w:val="left"/>
      <w:tblInd w:w="0" w:type="dxa"/>
      <w:tblCellMar>
        <w:top w:w="0" w:type="dxa"/>
        <w:left w:w="0" w:type="dxa"/>
        <w:bottom w:w="0" w:type="dxa"/>
        <w:right w:w="0" w:type="dxa"/>
      </w:tblCellMar>
      <w:tblLook w:firstRow="0" w:noVBand="0" w:lastRow="0" w:firstColumn="0" w:lastColumn="0" w:noHBand="0" w:val="0000"/>
    </w:tblPr>
    <w:tblGrid>
      <w:gridCol w:w="4920"/>
      <w:gridCol w:w="4919"/>
    </w:tblGrid>
    <w:tr>
      <w:trPr/>
      <w:tc>
        <w:tcPr>
          <w:tcW w:w="4920" w:type="dxa"/>
          <w:tcBorders/>
          <w:shd w:color="auto" w:fill="auto" w:val="clear"/>
        </w:tcPr>
        <w:p>
          <w:pPr>
            <w:pStyle w:val="Pieddepage"/>
            <w:jc w:val="right"/>
            <w:rPr/>
          </w:pPr>
          <w:r>
            <w:rPr>
              <w:w w:val="103"/>
            </w:rPr>
            <w:fldChar w:fldCharType="begin"/>
          </w:r>
          <w:r>
            <w:rPr>
              <w:w w:val="103"/>
            </w:rPr>
            <w:instrText> PAGE </w:instrText>
          </w:r>
          <w:r>
            <w:rPr>
              <w:w w:val="103"/>
            </w:rPr>
            <w:fldChar w:fldCharType="separate"/>
          </w:r>
          <w:r>
            <w:rPr>
              <w:w w:val="103"/>
            </w:rPr>
            <w:t>3</w:t>
          </w:r>
          <w:r>
            <w:rPr>
              <w:w w:val="103"/>
            </w:rPr>
            <w:fldChar w:fldCharType="end"/>
          </w:r>
          <w:r>
            <w:rPr>
              <w:w w:val="103"/>
            </w:rPr>
            <w:t>/</w:t>
          </w:r>
          <w:r>
            <w:rPr>
              <w:w w:val="103"/>
            </w:rPr>
            <w:fldChar w:fldCharType="begin"/>
          </w:r>
          <w:r>
            <w:rPr>
              <w:w w:val="103"/>
            </w:rPr>
            <w:instrText> NUMPAGES </w:instrText>
          </w:r>
          <w:r>
            <w:rPr>
              <w:w w:val="103"/>
            </w:rPr>
            <w:fldChar w:fldCharType="separate"/>
          </w:r>
          <w:r>
            <w:rPr>
              <w:w w:val="103"/>
            </w:rPr>
            <w:t>4</w:t>
          </w:r>
          <w:r>
            <w:rPr>
              <w:w w:val="103"/>
            </w:rPr>
            <w:fldChar w:fldCharType="end"/>
          </w:r>
        </w:p>
      </w:tc>
      <w:tc>
        <w:tcPr>
          <w:tcW w:w="4919" w:type="dxa"/>
          <w:tcBorders/>
          <w:shd w:color="auto" w:fill="auto" w:val="clear"/>
        </w:tcPr>
        <w:p>
          <w:pPr>
            <w:pStyle w:val="Pieddepage"/>
            <w:rPr/>
          </w:pPr>
          <w:r>
            <w:rPr>
              <w:b w:val="false"/>
              <w:w w:val="103"/>
              <w:sz w:val="14"/>
            </w:rPr>
            <w:t xml:space="preserve">Champ d'utilisateur FooterJN = </w:t>
          </w:r>
        </w:p>
      </w:tc>
    </w:tr>
  </w:tbl>
  <w:p>
    <w:pPr>
      <w:pStyle w:val="Pieddepag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drawing>
        <wp:anchor behindDoc="1" distT="0" distB="0" distL="0" distR="0" simplePos="0" locked="0" layoutInCell="1" allowOverlap="1" relativeHeight="2">
          <wp:simplePos x="0" y="0"/>
          <wp:positionH relativeFrom="column">
            <wp:posOffset>5532120</wp:posOffset>
          </wp:positionH>
          <wp:positionV relativeFrom="paragraph">
            <wp:posOffset>-228600</wp:posOffset>
          </wp:positionV>
          <wp:extent cx="694690" cy="694690"/>
          <wp:effectExtent l="0" t="0" r="0" b="0"/>
          <wp:wrapNone/>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1"/>
                  <a:stretch>
                    <a:fillRect/>
                  </a:stretch>
                </pic:blipFill>
                <pic:spPr bwMode="auto">
                  <a:xfrm>
                    <a:off x="0" y="0"/>
                    <a:ext cx="694690" cy="694690"/>
                  </a:xfrm>
                  <a:prstGeom prst="rect">
                    <a:avLst/>
                  </a:prstGeom>
                </pic:spPr>
              </pic:pic>
            </a:graphicData>
          </a:graphic>
        </wp:anchor>
      </w:drawing>
    </w:r>
  </w:p>
  <w:tbl>
    <w:tblPr>
      <w:tblW w:w="8678" w:type="dxa"/>
      <w:jc w:val="left"/>
      <w:tblInd w:w="0" w:type="dxa"/>
      <w:tblCellMar>
        <w:top w:w="0" w:type="dxa"/>
        <w:left w:w="0" w:type="dxa"/>
        <w:bottom w:w="0" w:type="dxa"/>
        <w:right w:w="0" w:type="dxa"/>
      </w:tblCellMar>
      <w:tblLook w:firstRow="0" w:noVBand="0" w:lastRow="0" w:firstColumn="0" w:lastColumn="0" w:noHBand="0" w:val="0000"/>
    </w:tblPr>
    <w:tblGrid>
      <w:gridCol w:w="3756"/>
      <w:gridCol w:w="4921"/>
    </w:tblGrid>
    <w:tr>
      <w:trPr/>
      <w:tc>
        <w:tcPr>
          <w:tcW w:w="3756" w:type="dxa"/>
          <w:tcBorders/>
          <w:shd w:fill="auto" w:val="clear"/>
        </w:tcPr>
        <w:p>
          <w:pPr>
            <w:pStyle w:val="Pieddepage"/>
            <w:rPr/>
          </w:pPr>
          <w:r>
            <w:rPr>
              <w:b w:val="false"/>
              <w:sz w:val="20"/>
            </w:rPr>
            <w:t>Champ d'utilisateur jobn =     280222    280222</w:t>
          </w:r>
        </w:p>
        <w:p>
          <w:pPr>
            <w:pStyle w:val="Pieddepage"/>
            <w:spacing w:lineRule="exact" w:line="200" w:before="120" w:after="0"/>
            <w:rPr/>
          </w:pPr>
          <w:r>
            <w:rPr>
              <w:rFonts w:ascii="Barcode 3 of 9 by request" w:hAnsi="Barcode 3 of 9 by request"/>
              <w:spacing w:val="0"/>
              <w:w w:val="100"/>
              <w:sz w:val="24"/>
            </w:rPr>
            <w:t xml:space="preserve">Champ d'utilisateur Barcode = </w:t>
          </w:r>
        </w:p>
      </w:tc>
      <w:tc>
        <w:tcPr>
          <w:tcW w:w="4921" w:type="dxa"/>
          <w:tcBorders/>
          <w:shd w:fill="auto" w:val="clear"/>
        </w:tcPr>
        <w:p>
          <w:pPr>
            <w:pStyle w:val="Pieddepage"/>
            <w:spacing w:lineRule="atLeast" w:line="240"/>
            <w:jc w:val="right"/>
            <w:rPr>
              <w:b w:val="false"/>
              <w:b w:val="false"/>
              <w:sz w:val="20"/>
            </w:rPr>
          </w:pPr>
          <w:r>
            <w:rPr/>
            <w:drawing>
              <wp:inline distT="0" distB="0" distL="0" distR="0">
                <wp:extent cx="1109345" cy="231775"/>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2"/>
                        <a:stretch>
                          <a:fillRect/>
                        </a:stretch>
                      </pic:blipFill>
                      <pic:spPr bwMode="auto">
                        <a:xfrm>
                          <a:off x="0" y="0"/>
                          <a:ext cx="1109345" cy="231775"/>
                        </a:xfrm>
                        <a:prstGeom prst="rect">
                          <a:avLst/>
                        </a:prstGeom>
                      </pic:spPr>
                    </pic:pic>
                  </a:graphicData>
                </a:graphic>
              </wp:inline>
            </w:drawing>
          </w:r>
        </w:p>
      </w:tc>
    </w:tr>
  </w:tbl>
  <w:p>
    <w:pPr>
      <w:pStyle w:val="Pieddepage"/>
      <w:spacing w:lineRule="exact" w:line="56"/>
      <w:rPr>
        <w:b w:val="false"/>
        <w:b w:val="false"/>
        <w:sz w:val="20"/>
      </w:rPr>
    </w:pPr>
    <w:r>
      <w:rPr>
        <w:b w:val="false"/>
        <w:sz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edebasdepage"/>
        <w:tabs>
          <w:tab w:val="clear" w:pos="475"/>
          <w:tab w:val="right" w:pos="1195" w:leader="none"/>
          <w:tab w:val="left" w:pos="1267" w:leader="none"/>
          <w:tab w:val="left" w:pos="1742" w:leader="none"/>
          <w:tab w:val="left" w:pos="2218" w:leader="none"/>
          <w:tab w:val="left" w:pos="2693" w:leader="none"/>
        </w:tabs>
        <w:ind w:left="1267" w:right="1260" w:hanging="576"/>
        <w:rPr/>
      </w:pPr>
      <w:r>
        <w:rPr>
          <w:rStyle w:val="Caractresdenotedebasdepage"/>
        </w:rPr>
        <w:footnoteRef/>
      </w:r>
      <w:r>
        <w:rPr>
          <w:sz w:val="16"/>
        </w:rPr>
        <w:tab/>
        <w:t>__________________</w:t>
      </w:r>
      <w:r>
        <w:rPr>
          <w:lang w:val="fr-FR"/>
        </w:rPr>
        <w:tab/>
        <w:t xml:space="preserve">Résolution </w:t>
      </w:r>
      <w:hyperlink r:id="rId1">
        <w:r>
          <w:rPr>
            <w:rStyle w:val="LienInternet"/>
            <w:lang w:val="fr-FR"/>
          </w:rPr>
          <w:t>2625 (XXV)</w:t>
        </w:r>
      </w:hyperlink>
      <w:r>
        <w:rPr>
          <w:lang w:val="fr-FR"/>
        </w:rPr>
        <w:t>, annexe.</w:t>
      </w:r>
    </w:p>
  </w:footnote>
  <w:footnote w:id="3">
    <w:p>
      <w:pPr>
        <w:pStyle w:val="Notedebasdepage"/>
        <w:tabs>
          <w:tab w:val="clear" w:pos="475"/>
          <w:tab w:val="right" w:pos="1195" w:leader="none"/>
          <w:tab w:val="left" w:pos="1267" w:leader="none"/>
          <w:tab w:val="left" w:pos="1742" w:leader="none"/>
          <w:tab w:val="left" w:pos="2218" w:leader="none"/>
          <w:tab w:val="left" w:pos="2693" w:leader="none"/>
        </w:tabs>
        <w:ind w:left="1267" w:right="1260" w:hanging="576"/>
        <w:rPr/>
      </w:pPr>
      <w:r>
        <w:rPr>
          <w:rStyle w:val="Caractresdenotedebasdepage"/>
        </w:rPr>
        <w:footnoteRef/>
      </w:r>
      <w:r>
        <w:rPr>
          <w:sz w:val="16"/>
        </w:rPr>
        <w:tab/>
        <w:t>__________________</w:t>
      </w:r>
      <w:r>
        <w:rPr>
          <w:lang w:val="fr-FR"/>
        </w:rPr>
        <w:tab/>
        <w:t xml:space="preserve">Nations Unies, </w:t>
      </w:r>
      <w:r>
        <w:rPr>
          <w:i/>
          <w:iCs/>
          <w:lang w:val="fr-FR"/>
        </w:rPr>
        <w:t>Recueil des Traités</w:t>
      </w:r>
      <w:r>
        <w:rPr>
          <w:lang w:val="fr-FR"/>
        </w:rPr>
        <w:t>, vol. 75, n</w:t>
      </w:r>
      <w:r>
        <w:rPr>
          <w:vertAlign w:val="superscript"/>
          <w:lang w:val="fr-FR"/>
        </w:rPr>
        <w:t>os</w:t>
      </w:r>
      <w:r>
        <w:rPr>
          <w:lang w:val="fr-FR"/>
        </w:rPr>
        <w:t> 970 à 973.</w:t>
      </w:r>
    </w:p>
  </w:footnote>
  <w:footnote w:id="4">
    <w:p>
      <w:pPr>
        <w:pStyle w:val="Notedebasdepage"/>
        <w:tabs>
          <w:tab w:val="clear" w:pos="475"/>
          <w:tab w:val="right" w:pos="1195" w:leader="none"/>
          <w:tab w:val="left" w:pos="1267" w:leader="none"/>
          <w:tab w:val="left" w:pos="1742" w:leader="none"/>
          <w:tab w:val="left" w:pos="2218" w:leader="none"/>
          <w:tab w:val="left" w:pos="2693" w:leader="none"/>
        </w:tabs>
        <w:ind w:left="1267" w:right="1260" w:hanging="576"/>
        <w:rPr/>
      </w:pPr>
      <w:r>
        <w:rPr>
          <w:rStyle w:val="Caractresdenotedebasdepage"/>
        </w:rPr>
        <w:footnoteRef/>
      </w:r>
      <w:r>
        <w:rPr>
          <w:sz w:val="16"/>
        </w:rPr>
        <w:tab/>
        <w:t>__________________</w:t>
      </w:r>
      <w:r>
        <w:rPr>
          <w:lang w:val="fr-FR"/>
        </w:rPr>
        <w:tab/>
        <w:t>Ibid., vol. 1125, n</w:t>
      </w:r>
      <w:r>
        <w:rPr>
          <w:vertAlign w:val="superscript"/>
          <w:lang w:val="fr-FR"/>
        </w:rPr>
        <w:t>o</w:t>
      </w:r>
      <w:r>
        <w:rPr>
          <w:lang w:val="fr-FR"/>
        </w:rPr>
        <w:t> 17512.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840" w:type="dxa"/>
      <w:jc w:val="left"/>
      <w:tblInd w:w="0" w:type="dxa"/>
      <w:tblCellMar>
        <w:top w:w="0" w:type="dxa"/>
        <w:left w:w="0" w:type="dxa"/>
        <w:bottom w:w="0" w:type="dxa"/>
        <w:right w:w="0" w:type="dxa"/>
      </w:tblCellMar>
      <w:tblLook w:firstRow="0" w:noVBand="0" w:lastRow="0" w:firstColumn="0" w:lastColumn="0" w:noHBand="0" w:val="0000"/>
    </w:tblPr>
    <w:tblGrid>
      <w:gridCol w:w="4920"/>
      <w:gridCol w:w="4919"/>
    </w:tblGrid>
    <w:tr>
      <w:trPr>
        <w:trHeight w:val="864" w:hRule="exact"/>
      </w:trPr>
      <w:tc>
        <w:tcPr>
          <w:tcW w:w="4920" w:type="dxa"/>
          <w:tcBorders>
            <w:bottom w:val="single" w:sz="2" w:space="0" w:color="010000"/>
          </w:tcBorders>
          <w:shd w:color="auto" w:fill="auto" w:val="clear"/>
          <w:vAlign w:val="bottom"/>
        </w:tcPr>
        <w:p>
          <w:pPr>
            <w:pStyle w:val="Entte"/>
            <w:spacing w:before="0" w:after="80"/>
            <w:rPr/>
          </w:pPr>
          <w:r>
            <w:rPr>
              <w:b/>
              <w:color w:val="000000"/>
            </w:rPr>
            <w:t xml:space="preserve">Champ d'utilisateur sss1 = </w:t>
          </w:r>
        </w:p>
      </w:tc>
      <w:tc>
        <w:tcPr>
          <w:tcW w:w="4919" w:type="dxa"/>
          <w:tcBorders>
            <w:bottom w:val="single" w:sz="2" w:space="0" w:color="010000"/>
          </w:tcBorders>
          <w:shd w:color="auto" w:fill="auto" w:val="clear"/>
          <w:vAlign w:val="bottom"/>
        </w:tcPr>
        <w:p>
          <w:pPr>
            <w:pStyle w:val="Entte"/>
            <w:rPr/>
          </w:pPr>
          <w:r>
            <w:rPr/>
          </w:r>
        </w:p>
      </w:tc>
    </w:tr>
  </w:tbl>
  <w:p>
    <w:pPr>
      <w:pStyle w:val="Entte"/>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840" w:type="dxa"/>
      <w:jc w:val="left"/>
      <w:tblInd w:w="0" w:type="dxa"/>
      <w:tblCellMar>
        <w:top w:w="0" w:type="dxa"/>
        <w:left w:w="0" w:type="dxa"/>
        <w:bottom w:w="0" w:type="dxa"/>
        <w:right w:w="0" w:type="dxa"/>
      </w:tblCellMar>
      <w:tblLook w:firstRow="0" w:noVBand="0" w:lastRow="0" w:firstColumn="0" w:lastColumn="0" w:noHBand="0" w:val="0000"/>
    </w:tblPr>
    <w:tblGrid>
      <w:gridCol w:w="4920"/>
      <w:gridCol w:w="4919"/>
    </w:tblGrid>
    <w:tr>
      <w:trPr>
        <w:trHeight w:val="864" w:hRule="exact"/>
      </w:trPr>
      <w:tc>
        <w:tcPr>
          <w:tcW w:w="4920" w:type="dxa"/>
          <w:tcBorders>
            <w:bottom w:val="single" w:sz="2" w:space="0" w:color="010000"/>
          </w:tcBorders>
          <w:shd w:color="auto" w:fill="auto" w:val="clear"/>
          <w:vAlign w:val="bottom"/>
        </w:tcPr>
        <w:p>
          <w:pPr>
            <w:pStyle w:val="Entte"/>
            <w:rPr/>
          </w:pPr>
          <w:r>
            <w:rPr/>
          </w:r>
        </w:p>
      </w:tc>
      <w:tc>
        <w:tcPr>
          <w:tcW w:w="4919" w:type="dxa"/>
          <w:tcBorders>
            <w:bottom w:val="single" w:sz="2" w:space="0" w:color="010000"/>
          </w:tcBorders>
          <w:shd w:color="auto" w:fill="auto" w:val="clear"/>
          <w:vAlign w:val="bottom"/>
        </w:tcPr>
        <w:p>
          <w:pPr>
            <w:pStyle w:val="Entte"/>
            <w:spacing w:before="0" w:after="80"/>
            <w:jc w:val="right"/>
            <w:rPr/>
          </w:pPr>
          <w:r>
            <w:rPr>
              <w:b/>
              <w:color w:val="000000"/>
            </w:rPr>
            <w:t xml:space="preserve">Champ d'utilisateur sss1 = </w:t>
          </w:r>
        </w:p>
      </w:tc>
    </w:tr>
  </w:tbl>
  <w:p>
    <w:pPr>
      <w:pStyle w:val="Entte"/>
      <w:rPr>
        <w:sz w:val="2"/>
      </w:rPr>
    </w:pPr>
    <w:r>
      <w:rPr>
        <w:sz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850" w:type="dxa"/>
      <w:jc w:val="left"/>
      <w:tblInd w:w="0" w:type="dxa"/>
      <w:tblCellMar>
        <w:top w:w="0" w:type="dxa"/>
        <w:left w:w="0" w:type="dxa"/>
        <w:bottom w:w="0" w:type="dxa"/>
        <w:right w:w="0" w:type="dxa"/>
      </w:tblCellMar>
      <w:tblLook w:firstRow="0" w:noVBand="0" w:lastRow="0" w:firstColumn="0" w:lastColumn="0" w:noHBand="0" w:val="0000"/>
    </w:tblPr>
    <w:tblGrid>
      <w:gridCol w:w="1265"/>
      <w:gridCol w:w="2059"/>
      <w:gridCol w:w="57"/>
      <w:gridCol w:w="3112"/>
      <w:gridCol w:w="243"/>
      <w:gridCol w:w="3113"/>
    </w:tblGrid>
    <w:tr>
      <w:trPr>
        <w:trHeight w:val="864" w:hRule="exact"/>
      </w:trPr>
      <w:tc>
        <w:tcPr>
          <w:tcW w:w="1265" w:type="dxa"/>
          <w:tcBorders>
            <w:bottom w:val="single" w:sz="4" w:space="0" w:color="000000"/>
          </w:tcBorders>
          <w:shd w:color="auto" w:fill="auto" w:val="clear"/>
          <w:vAlign w:val="bottom"/>
        </w:tcPr>
        <w:p>
          <w:pPr>
            <w:pStyle w:val="Entte"/>
            <w:spacing w:before="0" w:after="120"/>
            <w:rPr/>
          </w:pPr>
          <w:r>
            <w:rPr/>
          </w:r>
        </w:p>
      </w:tc>
      <w:tc>
        <w:tcPr>
          <w:tcW w:w="2059" w:type="dxa"/>
          <w:tcBorders>
            <w:bottom w:val="single" w:sz="4" w:space="0" w:color="000000"/>
          </w:tcBorders>
          <w:shd w:color="auto" w:fill="auto" w:val="clear"/>
          <w:vAlign w:val="bottom"/>
        </w:tcPr>
        <w:p>
          <w:pPr>
            <w:pStyle w:val="HCH"/>
            <w:spacing w:before="0" w:after="80"/>
            <w:rPr>
              <w:b w:val="false"/>
              <w:b w:val="false"/>
              <w:color w:val="010000"/>
              <w:spacing w:val="2"/>
              <w:w w:val="96"/>
            </w:rPr>
          </w:pPr>
          <w:r>
            <w:rPr>
              <w:b w:val="false"/>
              <w:color w:val="010000"/>
              <w:spacing w:val="2"/>
              <w:w w:val="96"/>
            </w:rPr>
            <w:t>Nations Unies</w:t>
          </w:r>
        </w:p>
      </w:tc>
      <w:tc>
        <w:tcPr>
          <w:tcW w:w="57" w:type="dxa"/>
          <w:tcBorders>
            <w:bottom w:val="single" w:sz="4" w:space="0" w:color="000000"/>
          </w:tcBorders>
          <w:shd w:color="auto" w:fill="auto" w:val="clear"/>
          <w:vAlign w:val="bottom"/>
        </w:tcPr>
        <w:p>
          <w:pPr>
            <w:pStyle w:val="Entte"/>
            <w:spacing w:before="0" w:after="120"/>
            <w:rPr/>
          </w:pPr>
          <w:r>
            <w:rPr/>
          </w:r>
        </w:p>
      </w:tc>
      <w:tc>
        <w:tcPr>
          <w:tcW w:w="6468" w:type="dxa"/>
          <w:gridSpan w:val="3"/>
          <w:tcBorders>
            <w:bottom w:val="single" w:sz="4" w:space="0" w:color="000000"/>
          </w:tcBorders>
          <w:shd w:color="auto" w:fill="auto" w:val="clear"/>
          <w:vAlign w:val="bottom"/>
        </w:tcPr>
        <w:p>
          <w:pPr>
            <w:pStyle w:val="Normal"/>
            <w:spacing w:lineRule="auto" w:line="240" w:before="0" w:after="80"/>
            <w:jc w:val="right"/>
            <w:rPr/>
          </w:pPr>
          <w:r>
            <w:rPr>
              <w:position w:val="-2"/>
              <w:sz w:val="40"/>
            </w:rPr>
            <w:t>A</w:t>
          </w:r>
          <w:r>
            <w:rPr>
              <w:position w:val="-2"/>
            </w:rPr>
            <w:t>/ES-11/L.1</w:t>
          </w:r>
        </w:p>
      </w:tc>
    </w:tr>
    <w:tr>
      <w:trPr>
        <w:trHeight w:val="2880" w:hRule="exact"/>
      </w:trPr>
      <w:tc>
        <w:tcPr>
          <w:tcW w:w="1265" w:type="dxa"/>
          <w:tcBorders>
            <w:top w:val="single" w:sz="4" w:space="0" w:color="000000"/>
            <w:bottom w:val="single" w:sz="12" w:space="0" w:color="000000"/>
          </w:tcBorders>
          <w:shd w:color="auto" w:fill="auto" w:val="clear"/>
        </w:tcPr>
        <w:p>
          <w:pPr>
            <w:pStyle w:val="Entte"/>
            <w:spacing w:lineRule="auto" w:line="240" w:before="120" w:after="0"/>
            <w:ind w:left="-72" w:hanging="0"/>
            <w:jc w:val="center"/>
            <w:rPr/>
          </w:pPr>
          <w:r>
            <w:rPr/>
            <w:t xml:space="preserve">  </w:t>
          </w:r>
          <w:r>
            <w:rPr/>
            <w:drawing>
              <wp:inline distT="0" distB="0" distL="0" distR="0">
                <wp:extent cx="713105" cy="59436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713105" cy="594360"/>
                        </a:xfrm>
                        <a:prstGeom prst="rect">
                          <a:avLst/>
                        </a:prstGeom>
                      </pic:spPr>
                    </pic:pic>
                  </a:graphicData>
                </a:graphic>
              </wp:inline>
            </w:drawing>
          </w:r>
        </w:p>
      </w:tc>
      <w:tc>
        <w:tcPr>
          <w:tcW w:w="5228" w:type="dxa"/>
          <w:gridSpan w:val="3"/>
          <w:tcBorders>
            <w:top w:val="single" w:sz="4" w:space="0" w:color="000000"/>
            <w:bottom w:val="single" w:sz="12" w:space="0" w:color="000000"/>
          </w:tcBorders>
          <w:shd w:color="auto" w:fill="auto" w:val="clear"/>
        </w:tcPr>
        <w:p>
          <w:pPr>
            <w:pStyle w:val="XLarge"/>
            <w:spacing w:before="109" w:after="0"/>
            <w:rPr/>
          </w:pPr>
          <w:r>
            <w:rPr/>
            <w:t>Assemblée générale</w:t>
          </w:r>
        </w:p>
      </w:tc>
      <w:tc>
        <w:tcPr>
          <w:tcW w:w="243" w:type="dxa"/>
          <w:tcBorders>
            <w:top w:val="single" w:sz="4" w:space="0" w:color="000000"/>
            <w:bottom w:val="single" w:sz="12" w:space="0" w:color="000000"/>
          </w:tcBorders>
          <w:shd w:color="auto" w:fill="auto" w:val="clear"/>
        </w:tcPr>
        <w:p>
          <w:pPr>
            <w:pStyle w:val="Entte"/>
            <w:spacing w:before="109" w:after="0"/>
            <w:rPr/>
          </w:pPr>
          <w:r>
            <w:rPr/>
          </w:r>
        </w:p>
      </w:tc>
      <w:tc>
        <w:tcPr>
          <w:tcW w:w="3113" w:type="dxa"/>
          <w:tcBorders>
            <w:top w:val="single" w:sz="4" w:space="0" w:color="000000"/>
            <w:bottom w:val="single" w:sz="12" w:space="0" w:color="000000"/>
          </w:tcBorders>
          <w:shd w:color="auto" w:fill="auto" w:val="clear"/>
        </w:tcPr>
        <w:p>
          <w:pPr>
            <w:pStyle w:val="Distribution"/>
            <w:widowControl/>
            <w:bidi w:val="0"/>
            <w:spacing w:lineRule="auto" w:line="240" w:before="240" w:after="0"/>
            <w:jc w:val="left"/>
            <w:rPr>
              <w:color w:val="000000"/>
              <w:lang w:val="fr-FR"/>
            </w:rPr>
          </w:pPr>
          <w:r>
            <w:rPr>
              <w:color w:val="000000"/>
              <w:lang w:val="fr-FR"/>
            </w:rPr>
            <w:t>Distr. limitée</w:t>
          </w:r>
        </w:p>
        <w:p>
          <w:pPr>
            <w:pStyle w:val="Publication"/>
            <w:rPr>
              <w:color w:val="000000"/>
              <w:lang w:val="fr-FR"/>
            </w:rPr>
          </w:pPr>
          <w:r>
            <w:rPr>
              <w:color w:val="000000"/>
              <w:lang w:val="fr-FR"/>
            </w:rPr>
            <w:t>1</w:t>
          </w:r>
          <w:r>
            <w:rPr>
              <w:color w:val="000000"/>
              <w:vertAlign w:val="superscript"/>
              <w:lang w:val="fr-FR"/>
            </w:rPr>
            <w:t>er</w:t>
          </w:r>
          <w:r>
            <w:rPr>
              <w:color w:val="000000"/>
              <w:lang w:val="fr-FR"/>
            </w:rPr>
            <w:t xml:space="preserve"> mars 2022</w:t>
          </w:r>
        </w:p>
        <w:p>
          <w:pPr>
            <w:pStyle w:val="Normal"/>
            <w:rPr>
              <w:lang w:val="fr-FR"/>
            </w:rPr>
          </w:pPr>
          <w:r>
            <w:rPr>
              <w:lang w:val="fr-FR"/>
            </w:rPr>
            <w:t>Français</w:t>
          </w:r>
        </w:p>
        <w:p>
          <w:pPr>
            <w:pStyle w:val="Original"/>
            <w:rPr>
              <w:color w:val="000000"/>
              <w:lang w:val="fr-FR"/>
            </w:rPr>
          </w:pPr>
          <w:r>
            <w:rPr>
              <w:color w:val="000000"/>
              <w:lang w:val="fr-FR"/>
            </w:rPr>
            <w:t>Original : anglais</w:t>
          </w:r>
        </w:p>
      </w:tc>
    </w:tr>
  </w:tbl>
  <w:p>
    <w:pPr>
      <w:pStyle w:val="Entte"/>
      <w:spacing w:lineRule="auto" w:line="240"/>
      <w:rPr>
        <w:sz w:val="2"/>
        <w:lang w:val="fr-FR"/>
      </w:rPr>
    </w:pPr>
    <w:r>
      <w:rPr>
        <w:sz w:val="2"/>
        <w:lang w:val="fr-F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decimal"/>
      <w:suff w:val="space"/>
      <w:lvlText w:val="Chapter %1"/>
      <w:lvlJc w:val="left"/>
      <w:pPr>
        <w:ind w:left="0" w:hanging="0"/>
      </w:pPr>
      <w:rPr>
        <w:sz w:val="20"/>
        <w:color w:val="auto"/>
      </w:rPr>
    </w:lvl>
    <w:lvl w:ilvl="1">
      <w:start w:val="1"/>
      <w:pStyle w:val="Titre2"/>
      <w:numFmt w:val="none"/>
      <w:suff w:val="nothing"/>
      <w:lvlText w:val=""/>
      <w:lvlJc w:val="left"/>
      <w:pPr>
        <w:ind w:left="0" w:hanging="0"/>
      </w:pPr>
    </w:lvl>
    <w:lvl w:ilvl="2">
      <w:start w:val="1"/>
      <w:pStyle w:val="Titre3"/>
      <w:numFmt w:val="none"/>
      <w:suff w:val="nothing"/>
      <w:lvlText w:val=""/>
      <w:lvlJc w:val="left"/>
      <w:pPr>
        <w:ind w:left="0" w:hanging="0"/>
      </w:pPr>
    </w:lvl>
    <w:lvl w:ilvl="3">
      <w:start w:val="1"/>
      <w:pStyle w:val="Titre4"/>
      <w:numFmt w:val="none"/>
      <w:suff w:val="nothing"/>
      <w:lvlText w:val=""/>
      <w:lvlJc w:val="left"/>
      <w:pPr>
        <w:ind w:left="0" w:hanging="0"/>
      </w:pPr>
    </w:lvl>
    <w:lvl w:ilvl="4">
      <w:start w:val="1"/>
      <w:pStyle w:val="Titre5"/>
      <w:numFmt w:val="none"/>
      <w:suff w:val="nothing"/>
      <w:lvlText w:val=""/>
      <w:lvlJc w:val="left"/>
      <w:pPr>
        <w:ind w:left="0" w:hanging="0"/>
      </w:pPr>
    </w:lvl>
    <w:lvl w:ilvl="5">
      <w:start w:val="1"/>
      <w:pStyle w:val="Titre6"/>
      <w:numFmt w:val="none"/>
      <w:suff w:val="nothing"/>
      <w:lvlText w:val=""/>
      <w:lvlJc w:val="left"/>
      <w:pPr>
        <w:ind w:left="0" w:hanging="0"/>
      </w:pPr>
    </w:lvl>
    <w:lvl w:ilvl="6">
      <w:start w:val="1"/>
      <w:pStyle w:val="Titre7"/>
      <w:numFmt w:val="none"/>
      <w:suff w:val="nothing"/>
      <w:lvlText w:val=""/>
      <w:lvlJc w:val="left"/>
      <w:pPr>
        <w:ind w:left="0" w:hanging="0"/>
      </w:pPr>
    </w:lvl>
    <w:lvl w:ilvl="7">
      <w:start w:val="1"/>
      <w:pStyle w:val="Titre8"/>
      <w:numFmt w:val="none"/>
      <w:suff w:val="nothing"/>
      <w:lvlText w:val=""/>
      <w:lvlJc w:val="left"/>
      <w:pPr>
        <w:ind w:left="0" w:hanging="0"/>
      </w:pPr>
    </w:lvl>
    <w:lvl w:ilvl="8">
      <w:start w:val="1"/>
      <w:pStyle w:val="Titre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revisionView w:insDel="0" w:formatting="0"/>
  <w:embedSystemFonts/>
  <w:defaultTabStop w:val="475"/>
  <w:evenAndOddHeader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Arial" w:asciiTheme="minorHAnsi" w:cstheme="minorBidi" w:eastAsiaTheme="minorEastAsia" w:hAnsiTheme="minorHAnsi"/>
        <w:szCs w:val="22"/>
        <w:lang w:val="en-GB"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7c09"/>
    <w:pPr>
      <w:widowControl/>
      <w:bidi w:val="0"/>
      <w:spacing w:lineRule="exact" w:line="240" w:before="0" w:after="0"/>
      <w:jc w:val="left"/>
    </w:pPr>
    <w:rPr>
      <w:rFonts w:ascii="Times New Roman" w:hAnsi="Times New Roman" w:eastAsia="Calibri" w:cs="Times New Roman" w:eastAsiaTheme="minorHAnsi"/>
      <w:color w:val="auto"/>
      <w:spacing w:val="4"/>
      <w:w w:val="103"/>
      <w:kern w:val="2"/>
      <w:sz w:val="20"/>
      <w:szCs w:val="22"/>
      <w:lang w:val="fr-CA" w:eastAsia="en-US" w:bidi="ar-SA"/>
    </w:rPr>
  </w:style>
  <w:style w:type="paragraph" w:styleId="Titre1">
    <w:name w:val="Heading 1"/>
    <w:basedOn w:val="Normal"/>
    <w:next w:val="Normal"/>
    <w:link w:val="Heading1Char"/>
    <w:uiPriority w:val="9"/>
    <w:qFormat/>
    <w:rsid w:val="00b97c09"/>
    <w:pPr>
      <w:numPr>
        <w:ilvl w:val="0"/>
        <w:numId w:val="1"/>
      </w:numPr>
      <w:spacing w:before="240" w:after="60"/>
      <w:outlineLvl w:val="0"/>
    </w:pPr>
    <w:rPr>
      <w:rFonts w:ascii="Arial" w:hAnsi="Arial" w:eastAsia="Times New Roman"/>
      <w:b/>
      <w:bCs/>
      <w:color w:val="365F91"/>
      <w:kern w:val="2"/>
      <w:sz w:val="32"/>
      <w:szCs w:val="28"/>
    </w:rPr>
  </w:style>
  <w:style w:type="paragraph" w:styleId="Titre2">
    <w:name w:val="Heading 2"/>
    <w:basedOn w:val="Normal"/>
    <w:next w:val="Normal"/>
    <w:link w:val="Heading2Char"/>
    <w:uiPriority w:val="9"/>
    <w:unhideWhenUsed/>
    <w:qFormat/>
    <w:rsid w:val="00b97c09"/>
    <w:pPr>
      <w:numPr>
        <w:ilvl w:val="1"/>
        <w:numId w:val="1"/>
      </w:numPr>
      <w:spacing w:before="240" w:after="60"/>
      <w:outlineLvl w:val="1"/>
    </w:pPr>
    <w:rPr>
      <w:rFonts w:ascii="Arial" w:hAnsi="Arial" w:eastAsia="Times New Roman"/>
      <w:b/>
      <w:bCs/>
      <w:i/>
      <w:color w:val="4F81BD"/>
      <w:sz w:val="28"/>
      <w:szCs w:val="26"/>
    </w:rPr>
  </w:style>
  <w:style w:type="paragraph" w:styleId="Titre3">
    <w:name w:val="Heading 3"/>
    <w:basedOn w:val="Normal"/>
    <w:next w:val="Normal"/>
    <w:link w:val="Heading3Char"/>
    <w:uiPriority w:val="9"/>
    <w:unhideWhenUsed/>
    <w:qFormat/>
    <w:rsid w:val="00b97c09"/>
    <w:pPr>
      <w:numPr>
        <w:ilvl w:val="2"/>
        <w:numId w:val="1"/>
      </w:numPr>
      <w:spacing w:before="240" w:after="60"/>
      <w:outlineLvl w:val="2"/>
    </w:pPr>
    <w:rPr>
      <w:rFonts w:ascii="Arial" w:hAnsi="Arial" w:eastAsia="Times New Roman"/>
      <w:b/>
      <w:bCs/>
      <w:color w:val="4F81BD"/>
      <w:sz w:val="26"/>
    </w:rPr>
  </w:style>
  <w:style w:type="paragraph" w:styleId="Titre4">
    <w:name w:val="Heading 4"/>
    <w:basedOn w:val="Normal"/>
    <w:next w:val="Normal"/>
    <w:link w:val="Heading4Char"/>
    <w:uiPriority w:val="9"/>
    <w:unhideWhenUsed/>
    <w:qFormat/>
    <w:rsid w:val="00b97c09"/>
    <w:pPr>
      <w:keepNext w:val="true"/>
      <w:keepLines/>
      <w:numPr>
        <w:ilvl w:val="3"/>
        <w:numId w:val="1"/>
      </w:numPr>
      <w:spacing w:before="200" w:after="0"/>
      <w:outlineLvl w:val="3"/>
    </w:pPr>
    <w:rPr>
      <w:rFonts w:ascii="Cambria" w:hAnsi="Cambria" w:eastAsia="Times New Roman"/>
      <w:b/>
      <w:bCs/>
      <w:i/>
      <w:iCs/>
      <w:color w:val="4F81BD"/>
    </w:rPr>
  </w:style>
  <w:style w:type="paragraph" w:styleId="Titre5">
    <w:name w:val="Heading 5"/>
    <w:basedOn w:val="Normal"/>
    <w:next w:val="Normal"/>
    <w:link w:val="Heading5Char"/>
    <w:uiPriority w:val="9"/>
    <w:unhideWhenUsed/>
    <w:qFormat/>
    <w:rsid w:val="00b97c09"/>
    <w:pPr>
      <w:keepNext w:val="true"/>
      <w:keepLines/>
      <w:numPr>
        <w:ilvl w:val="4"/>
        <w:numId w:val="1"/>
      </w:numPr>
      <w:spacing w:before="200" w:after="0"/>
      <w:outlineLvl w:val="4"/>
    </w:pPr>
    <w:rPr>
      <w:rFonts w:ascii="Cambria" w:hAnsi="Cambria" w:eastAsia="Times New Roman"/>
      <w:color w:val="243F60"/>
    </w:rPr>
  </w:style>
  <w:style w:type="paragraph" w:styleId="Titre6">
    <w:name w:val="Heading 6"/>
    <w:basedOn w:val="Normal"/>
    <w:next w:val="Normal"/>
    <w:link w:val="Heading6Char"/>
    <w:uiPriority w:val="9"/>
    <w:unhideWhenUsed/>
    <w:qFormat/>
    <w:rsid w:val="00b97c09"/>
    <w:pPr>
      <w:keepNext w:val="true"/>
      <w:keepLines/>
      <w:numPr>
        <w:ilvl w:val="5"/>
        <w:numId w:val="1"/>
      </w:numPr>
      <w:spacing w:before="200" w:after="0"/>
      <w:outlineLvl w:val="5"/>
    </w:pPr>
    <w:rPr>
      <w:rFonts w:ascii="Cambria" w:hAnsi="Cambria" w:eastAsia="Times New Roman"/>
      <w:i/>
      <w:iCs/>
      <w:color w:val="243F60"/>
    </w:rPr>
  </w:style>
  <w:style w:type="paragraph" w:styleId="Titre7">
    <w:name w:val="Heading 7"/>
    <w:basedOn w:val="Normal"/>
    <w:next w:val="Normal"/>
    <w:link w:val="Heading7Char"/>
    <w:uiPriority w:val="9"/>
    <w:semiHidden/>
    <w:unhideWhenUsed/>
    <w:qFormat/>
    <w:rsid w:val="00b97c09"/>
    <w:pPr>
      <w:keepNext w:val="true"/>
      <w:keepLines/>
      <w:numPr>
        <w:ilvl w:val="6"/>
        <w:numId w:val="1"/>
      </w:numPr>
      <w:spacing w:before="200" w:after="0"/>
      <w:outlineLvl w:val="6"/>
    </w:pPr>
    <w:rPr>
      <w:rFonts w:ascii="Cambria" w:hAnsi="Cambria" w:eastAsia="Times New Roman"/>
      <w:i/>
      <w:iCs/>
      <w:color w:val="404040"/>
    </w:rPr>
  </w:style>
  <w:style w:type="paragraph" w:styleId="Titre8">
    <w:name w:val="Heading 8"/>
    <w:basedOn w:val="Normal"/>
    <w:next w:val="Normal"/>
    <w:link w:val="Heading8Char"/>
    <w:uiPriority w:val="9"/>
    <w:semiHidden/>
    <w:unhideWhenUsed/>
    <w:qFormat/>
    <w:rsid w:val="00b97c09"/>
    <w:pPr>
      <w:keepNext w:val="true"/>
      <w:keepLines/>
      <w:numPr>
        <w:ilvl w:val="7"/>
        <w:numId w:val="1"/>
      </w:numPr>
      <w:spacing w:before="200" w:after="0"/>
      <w:outlineLvl w:val="7"/>
    </w:pPr>
    <w:rPr>
      <w:rFonts w:ascii="Cambria" w:hAnsi="Cambria" w:eastAsia="Times New Roman"/>
      <w:color w:val="404040"/>
      <w:szCs w:val="20"/>
    </w:rPr>
  </w:style>
  <w:style w:type="paragraph" w:styleId="Titre9">
    <w:name w:val="Heading 9"/>
    <w:basedOn w:val="Normal"/>
    <w:next w:val="Normal"/>
    <w:link w:val="Heading9Char"/>
    <w:uiPriority w:val="9"/>
    <w:semiHidden/>
    <w:unhideWhenUsed/>
    <w:qFormat/>
    <w:rsid w:val="00b97c09"/>
    <w:pPr>
      <w:keepNext w:val="true"/>
      <w:keepLines/>
      <w:numPr>
        <w:ilvl w:val="8"/>
        <w:numId w:val="1"/>
      </w:numPr>
      <w:spacing w:before="200" w:after="0"/>
      <w:outlineLvl w:val="8"/>
    </w:pPr>
    <w:rPr>
      <w:rFonts w:ascii="Cambria" w:hAnsi="Cambria" w:eastAsia="Times New Roman"/>
      <w:i/>
      <w:iCs/>
      <w:color w:val="404040"/>
      <w:szCs w:val="20"/>
    </w:rPr>
  </w:style>
  <w:style w:type="character" w:styleId="DefaultParagraphFont" w:default="1">
    <w:name w:val="Default Paragraph Font"/>
    <w:uiPriority w:val="1"/>
    <w:unhideWhenUsed/>
    <w:qFormat/>
    <w:rPr/>
  </w:style>
  <w:style w:type="character" w:styleId="BalloonTextChar" w:customStyle="1">
    <w:name w:val="Balloon Text Char"/>
    <w:link w:val="BalloonText"/>
    <w:uiPriority w:val="99"/>
    <w:semiHidden/>
    <w:qFormat/>
    <w:rsid w:val="00b97c09"/>
    <w:rPr>
      <w:rFonts w:ascii="Tahoma" w:hAnsi="Tahoma" w:eastAsia="Calibri" w:cs="Tahoma" w:eastAsiaTheme="minorHAnsi"/>
      <w:spacing w:val="4"/>
      <w:w w:val="103"/>
      <w:kern w:val="2"/>
      <w:sz w:val="16"/>
      <w:szCs w:val="16"/>
      <w:lang w:val="fr-CA" w:eastAsia="en-US"/>
    </w:rPr>
  </w:style>
  <w:style w:type="character" w:styleId="Ancredenotedefin">
    <w:name w:val="Ancre de note de fin"/>
    <w:rPr>
      <w:color w:val="auto"/>
      <w:spacing w:val="5"/>
      <w:w w:val="103"/>
      <w:kern w:val="2"/>
      <w:vertAlign w:val="superscript"/>
      <w14:ligatures w14:val="none"/>
      <w14:numForm w14:val="default"/>
      <w14:numSpacing w14:val="default"/>
      <w14:stylisticSets/>
      <w14:cntxtAlts w14:val="0"/>
    </w:rPr>
  </w:style>
  <w:style w:type="character" w:styleId="EndnoteCharacters">
    <w:name w:val="Endnote Characters"/>
    <w:basedOn w:val="DefaultParagraphFont"/>
    <w:uiPriority w:val="99"/>
    <w:semiHidden/>
    <w:qFormat/>
    <w:rsid w:val="00b97c09"/>
    <w:rPr>
      <w:color w:val="auto"/>
      <w:spacing w:val="5"/>
      <w:w w:val="103"/>
      <w:kern w:val="2"/>
      <w:vertAlign w:val="superscript"/>
      <w14:ligatures w14:val="none"/>
      <w14:numForm w14:val="default"/>
      <w14:numSpacing w14:val="default"/>
      <w14:stylisticSets/>
      <w14:cntxtAlts w14:val="0"/>
    </w:rPr>
  </w:style>
  <w:style w:type="character" w:styleId="EndnoteTextChar" w:customStyle="1">
    <w:name w:val="Endnote Text Char"/>
    <w:link w:val="EndnoteText"/>
    <w:uiPriority w:val="99"/>
    <w:semiHidden/>
    <w:qFormat/>
    <w:rsid w:val="00b97c09"/>
    <w:rPr>
      <w:rFonts w:ascii="Times New Roman" w:hAnsi="Times New Roman" w:eastAsia="Calibri" w:cs="Times New Roman" w:eastAsiaTheme="minorHAnsi"/>
      <w:spacing w:val="4"/>
      <w:w w:val="103"/>
      <w:kern w:val="2"/>
      <w:sz w:val="17"/>
      <w:szCs w:val="20"/>
      <w:lang w:val="fr-CA" w:eastAsia="en-US"/>
    </w:rPr>
  </w:style>
  <w:style w:type="character" w:styleId="FooterChar" w:customStyle="1">
    <w:name w:val="Footer Char"/>
    <w:link w:val="Footer"/>
    <w:uiPriority w:val="99"/>
    <w:qFormat/>
    <w:rsid w:val="00b97c09"/>
    <w:rPr>
      <w:rFonts w:ascii="Times New Roman" w:hAnsi="Times New Roman" w:eastAsia="Calibri" w:cs="Times New Roman" w:eastAsiaTheme="minorHAnsi"/>
      <w:b/>
      <w:spacing w:val="3"/>
      <w:w w:val="105"/>
      <w:sz w:val="17"/>
      <w:lang w:val="en-US" w:eastAsia="en-US"/>
    </w:rPr>
  </w:style>
  <w:style w:type="character" w:styleId="Ancredenotedebasdepage">
    <w:name w:val="Ancre de note de bas de page"/>
    <w:rPr>
      <w:color w:val="auto"/>
      <w:spacing w:val="5"/>
      <w:w w:val="103"/>
      <w:kern w:val="2"/>
      <w:sz w:val="17"/>
      <w:szCs w:val="17"/>
      <w:vertAlign w:val="superscript"/>
      <w14:ligatures w14:val="none"/>
      <w14:numForm w14:val="default"/>
      <w14:numSpacing w14:val="default"/>
      <w14:stylisticSets/>
      <w14:cntxtAlts w14:val="0"/>
    </w:rPr>
  </w:style>
  <w:style w:type="character" w:styleId="FootnoteCharacters">
    <w:name w:val="Footnote Characters"/>
    <w:uiPriority w:val="99"/>
    <w:qFormat/>
    <w:rsid w:val="00b97c09"/>
    <w:rPr>
      <w:color w:val="auto"/>
      <w:spacing w:val="5"/>
      <w:w w:val="103"/>
      <w:kern w:val="2"/>
      <w:sz w:val="17"/>
      <w:szCs w:val="17"/>
      <w:vertAlign w:val="superscript"/>
      <w14:ligatures w14:val="none"/>
      <w14:numForm w14:val="default"/>
      <w14:numSpacing w14:val="default"/>
      <w14:stylisticSets/>
      <w14:cntxtAlts w14:val="0"/>
    </w:rPr>
  </w:style>
  <w:style w:type="character" w:styleId="FootnoteTextChar" w:customStyle="1">
    <w:name w:val="Footnote Text Char"/>
    <w:link w:val="FootnoteText"/>
    <w:uiPriority w:val="99"/>
    <w:qFormat/>
    <w:rsid w:val="00b97c09"/>
    <w:rPr>
      <w:rFonts w:ascii="Times New Roman" w:hAnsi="Times New Roman" w:eastAsia="Calibri" w:cs="Times New Roman" w:eastAsiaTheme="minorHAnsi"/>
      <w:spacing w:val="4"/>
      <w:w w:val="103"/>
      <w:kern w:val="2"/>
      <w:sz w:val="17"/>
      <w:szCs w:val="20"/>
      <w:lang w:val="fr-CA" w:eastAsia="en-US"/>
    </w:rPr>
  </w:style>
  <w:style w:type="character" w:styleId="HeaderChar" w:customStyle="1">
    <w:name w:val="Header Char"/>
    <w:link w:val="Header"/>
    <w:uiPriority w:val="99"/>
    <w:qFormat/>
    <w:rsid w:val="00b97c09"/>
    <w:rPr>
      <w:rFonts w:ascii="Times New Roman" w:hAnsi="Times New Roman" w:eastAsia="Calibri" w:cs="Times New Roman" w:eastAsiaTheme="minorHAnsi"/>
      <w:spacing w:val="3"/>
      <w:w w:val="105"/>
      <w:sz w:val="17"/>
      <w:lang w:val="en-US" w:eastAsia="en-US"/>
    </w:rPr>
  </w:style>
  <w:style w:type="character" w:styleId="Heading1Char" w:customStyle="1">
    <w:name w:val="Heading 1 Char"/>
    <w:link w:val="Heading1"/>
    <w:uiPriority w:val="9"/>
    <w:qFormat/>
    <w:rsid w:val="00b97c09"/>
    <w:rPr>
      <w:rFonts w:ascii="Arial" w:hAnsi="Arial" w:eastAsia="Times New Roman" w:cs="Times New Roman"/>
      <w:b/>
      <w:bCs/>
      <w:color w:val="365F91"/>
      <w:spacing w:val="4"/>
      <w:w w:val="103"/>
      <w:kern w:val="2"/>
      <w:sz w:val="32"/>
      <w:szCs w:val="28"/>
      <w:lang w:val="fr-CA" w:eastAsia="en-US"/>
    </w:rPr>
  </w:style>
  <w:style w:type="character" w:styleId="Heading2Char" w:customStyle="1">
    <w:name w:val="Heading 2 Char"/>
    <w:link w:val="Heading2"/>
    <w:uiPriority w:val="9"/>
    <w:qFormat/>
    <w:rsid w:val="00b97c09"/>
    <w:rPr>
      <w:rFonts w:ascii="Arial" w:hAnsi="Arial" w:eastAsia="Times New Roman" w:cs="Times New Roman"/>
      <w:b/>
      <w:bCs/>
      <w:i/>
      <w:color w:val="4F81BD"/>
      <w:spacing w:val="4"/>
      <w:w w:val="103"/>
      <w:kern w:val="2"/>
      <w:sz w:val="28"/>
      <w:szCs w:val="26"/>
      <w:lang w:val="fr-CA" w:eastAsia="en-US"/>
    </w:rPr>
  </w:style>
  <w:style w:type="character" w:styleId="Heading3Char" w:customStyle="1">
    <w:name w:val="Heading 3 Char"/>
    <w:link w:val="Heading3"/>
    <w:uiPriority w:val="9"/>
    <w:qFormat/>
    <w:rsid w:val="00b97c09"/>
    <w:rPr>
      <w:rFonts w:ascii="Arial" w:hAnsi="Arial" w:eastAsia="Times New Roman" w:cs="Times New Roman"/>
      <w:b/>
      <w:bCs/>
      <w:color w:val="4F81BD"/>
      <w:spacing w:val="4"/>
      <w:w w:val="103"/>
      <w:kern w:val="2"/>
      <w:sz w:val="26"/>
      <w:lang w:val="fr-CA" w:eastAsia="en-US"/>
    </w:rPr>
  </w:style>
  <w:style w:type="character" w:styleId="Heading4Char" w:customStyle="1">
    <w:name w:val="Heading 4 Char"/>
    <w:link w:val="Heading4"/>
    <w:uiPriority w:val="9"/>
    <w:qFormat/>
    <w:rsid w:val="00b97c09"/>
    <w:rPr>
      <w:rFonts w:ascii="Cambria" w:hAnsi="Cambria" w:eastAsia="Times New Roman" w:cs="Times New Roman"/>
      <w:b/>
      <w:bCs/>
      <w:i/>
      <w:iCs/>
      <w:color w:val="4F81BD"/>
      <w:spacing w:val="4"/>
      <w:w w:val="103"/>
      <w:kern w:val="2"/>
      <w:sz w:val="20"/>
      <w:lang w:val="fr-CA" w:eastAsia="en-US"/>
    </w:rPr>
  </w:style>
  <w:style w:type="character" w:styleId="Heading5Char" w:customStyle="1">
    <w:name w:val="Heading 5 Char"/>
    <w:link w:val="Heading5"/>
    <w:uiPriority w:val="9"/>
    <w:qFormat/>
    <w:rsid w:val="00b97c09"/>
    <w:rPr>
      <w:rFonts w:ascii="Cambria" w:hAnsi="Cambria" w:eastAsia="Times New Roman" w:cs="Times New Roman"/>
      <w:color w:val="243F60"/>
      <w:spacing w:val="4"/>
      <w:w w:val="103"/>
      <w:kern w:val="2"/>
      <w:sz w:val="20"/>
      <w:lang w:val="fr-CA" w:eastAsia="en-US"/>
    </w:rPr>
  </w:style>
  <w:style w:type="character" w:styleId="Heading6Char" w:customStyle="1">
    <w:name w:val="Heading 6 Char"/>
    <w:link w:val="Heading6"/>
    <w:uiPriority w:val="9"/>
    <w:qFormat/>
    <w:rsid w:val="00b97c09"/>
    <w:rPr>
      <w:rFonts w:ascii="Cambria" w:hAnsi="Cambria" w:eastAsia="Times New Roman" w:cs="Times New Roman"/>
      <w:i/>
      <w:iCs/>
      <w:color w:val="243F60"/>
      <w:spacing w:val="4"/>
      <w:w w:val="103"/>
      <w:kern w:val="2"/>
      <w:sz w:val="20"/>
      <w:lang w:val="fr-CA" w:eastAsia="en-US"/>
    </w:rPr>
  </w:style>
  <w:style w:type="character" w:styleId="Heading7Char" w:customStyle="1">
    <w:name w:val="Heading 7 Char"/>
    <w:link w:val="Heading7"/>
    <w:uiPriority w:val="9"/>
    <w:semiHidden/>
    <w:qFormat/>
    <w:rsid w:val="00b97c09"/>
    <w:rPr>
      <w:rFonts w:ascii="Cambria" w:hAnsi="Cambria" w:eastAsia="Times New Roman" w:cs="Times New Roman"/>
      <w:i/>
      <w:iCs/>
      <w:color w:val="404040"/>
      <w:spacing w:val="4"/>
      <w:w w:val="103"/>
      <w:kern w:val="2"/>
      <w:sz w:val="20"/>
      <w:lang w:val="fr-CA" w:eastAsia="en-US"/>
    </w:rPr>
  </w:style>
  <w:style w:type="character" w:styleId="Heading8Char" w:customStyle="1">
    <w:name w:val="Heading 8 Char"/>
    <w:link w:val="Heading8"/>
    <w:uiPriority w:val="9"/>
    <w:semiHidden/>
    <w:qFormat/>
    <w:rsid w:val="00b97c09"/>
    <w:rPr>
      <w:rFonts w:ascii="Cambria" w:hAnsi="Cambria" w:eastAsia="Times New Roman" w:cs="Times New Roman"/>
      <w:color w:val="404040"/>
      <w:spacing w:val="4"/>
      <w:w w:val="103"/>
      <w:kern w:val="2"/>
      <w:sz w:val="20"/>
      <w:szCs w:val="20"/>
      <w:lang w:val="fr-CA" w:eastAsia="en-US"/>
    </w:rPr>
  </w:style>
  <w:style w:type="character" w:styleId="Heading9Char" w:customStyle="1">
    <w:name w:val="Heading 9 Char"/>
    <w:link w:val="Heading9"/>
    <w:uiPriority w:val="9"/>
    <w:semiHidden/>
    <w:qFormat/>
    <w:rsid w:val="00b97c09"/>
    <w:rPr>
      <w:rFonts w:ascii="Cambria" w:hAnsi="Cambria" w:eastAsia="Times New Roman" w:cs="Times New Roman"/>
      <w:i/>
      <w:iCs/>
      <w:color w:val="404040"/>
      <w:spacing w:val="4"/>
      <w:w w:val="103"/>
      <w:kern w:val="2"/>
      <w:sz w:val="20"/>
      <w:szCs w:val="20"/>
      <w:lang w:val="fr-CA" w:eastAsia="en-US"/>
    </w:rPr>
  </w:style>
  <w:style w:type="character" w:styleId="Linenumber">
    <w:name w:val="line number"/>
    <w:uiPriority w:val="99"/>
    <w:qFormat/>
    <w:rsid w:val="00b97c09"/>
    <w:rPr>
      <w:sz w:val="14"/>
    </w:rPr>
  </w:style>
  <w:style w:type="character" w:styleId="Strong">
    <w:name w:val="Strong"/>
    <w:uiPriority w:val="22"/>
    <w:qFormat/>
    <w:rsid w:val="00b97c09"/>
    <w:rPr>
      <w:b/>
      <w:bCs/>
    </w:rPr>
  </w:style>
  <w:style w:type="character" w:styleId="Annotationreference">
    <w:name w:val="annotation reference"/>
    <w:basedOn w:val="DefaultParagraphFont"/>
    <w:uiPriority w:val="99"/>
    <w:semiHidden/>
    <w:unhideWhenUsed/>
    <w:qFormat/>
    <w:rsid w:val="00bc458d"/>
    <w:rPr>
      <w:sz w:val="16"/>
      <w:szCs w:val="16"/>
    </w:rPr>
  </w:style>
  <w:style w:type="character" w:styleId="CommentTextChar" w:customStyle="1">
    <w:name w:val="Comment Text Char"/>
    <w:basedOn w:val="DefaultParagraphFont"/>
    <w:link w:val="CommentText"/>
    <w:uiPriority w:val="99"/>
    <w:semiHidden/>
    <w:qFormat/>
    <w:rsid w:val="00bc458d"/>
    <w:rPr>
      <w:rFonts w:ascii="Times New Roman" w:hAnsi="Times New Roman" w:eastAsia="Calibri" w:cs="Times New Roman" w:eastAsiaTheme="minorHAnsi"/>
      <w:spacing w:val="4"/>
      <w:w w:val="103"/>
      <w:kern w:val="2"/>
      <w:sz w:val="20"/>
      <w:szCs w:val="20"/>
      <w:lang w:val="fr-CA" w:eastAsia="en-US"/>
    </w:rPr>
  </w:style>
  <w:style w:type="character" w:styleId="CommentSubjectChar" w:customStyle="1">
    <w:name w:val="Comment Subject Char"/>
    <w:basedOn w:val="CommentTextChar"/>
    <w:link w:val="CommentSubject"/>
    <w:uiPriority w:val="99"/>
    <w:semiHidden/>
    <w:qFormat/>
    <w:rsid w:val="00bc458d"/>
    <w:rPr>
      <w:rFonts w:ascii="Times New Roman" w:hAnsi="Times New Roman" w:eastAsia="Calibri" w:cs="Times New Roman" w:eastAsiaTheme="minorHAnsi"/>
      <w:b/>
      <w:bCs/>
      <w:spacing w:val="4"/>
      <w:w w:val="103"/>
      <w:kern w:val="2"/>
      <w:sz w:val="20"/>
      <w:szCs w:val="20"/>
      <w:lang w:val="fr-CA" w:eastAsia="en-US"/>
    </w:rPr>
  </w:style>
  <w:style w:type="character" w:styleId="LienInternet">
    <w:name w:val="Lien Internet"/>
    <w:basedOn w:val="DefaultParagraphFont"/>
    <w:uiPriority w:val="99"/>
    <w:unhideWhenUsed/>
    <w:rsid w:val="000d26da"/>
    <w:rPr>
      <w:color w:val="0000FF"/>
      <w:u w:val="none"/>
    </w:rPr>
  </w:style>
  <w:style w:type="character" w:styleId="FollowedHyperlink">
    <w:name w:val="FollowedHyperlink"/>
    <w:basedOn w:val="DefaultParagraphFont"/>
    <w:uiPriority w:val="99"/>
    <w:semiHidden/>
    <w:unhideWhenUsed/>
    <w:qFormat/>
    <w:rsid w:val="000d26da"/>
    <w:rPr>
      <w:color w:val="0000FF"/>
      <w:u w:val="none"/>
    </w:rPr>
  </w:style>
  <w:style w:type="character" w:styleId="UnresolvedMention">
    <w:name w:val="Unresolved Mention"/>
    <w:basedOn w:val="DefaultParagraphFont"/>
    <w:uiPriority w:val="99"/>
    <w:semiHidden/>
    <w:unhideWhenUsed/>
    <w:qFormat/>
    <w:rsid w:val="000d26da"/>
    <w:rPr>
      <w:color w:val="605E5C"/>
      <w:shd w:fill="E1DFDD" w:val="clear"/>
    </w:rPr>
  </w:style>
  <w:style w:type="character" w:styleId="Caractresdenotedebasdepage">
    <w:name w:val="Caractères de note de bas de page"/>
    <w:qForma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1" w:customStyle="1">
    <w:name w:val="_ H_1"/>
    <w:basedOn w:val="Normal"/>
    <w:next w:val="Normal"/>
    <w:qFormat/>
    <w:rsid w:val="00b97c09"/>
    <w:pPr>
      <w:keepNext w:val="true"/>
      <w:keepLines/>
      <w:suppressAutoHyphens w:val="true"/>
      <w:spacing w:lineRule="exact" w:line="270"/>
      <w:outlineLvl w:val="0"/>
    </w:pPr>
    <w:rPr>
      <w:b/>
      <w:sz w:val="24"/>
    </w:rPr>
  </w:style>
  <w:style w:type="paragraph" w:styleId="HCH" w:customStyle="1">
    <w:name w:val="_ H _CH"/>
    <w:basedOn w:val="H1"/>
    <w:next w:val="Normal"/>
    <w:qFormat/>
    <w:rsid w:val="00b97c09"/>
    <w:pPr>
      <w:spacing w:lineRule="exact" w:line="300"/>
    </w:pPr>
    <w:rPr>
      <w:spacing w:val="-2"/>
      <w:sz w:val="28"/>
    </w:rPr>
  </w:style>
  <w:style w:type="paragraph" w:styleId="HM" w:customStyle="1">
    <w:name w:val="_ H __M"/>
    <w:basedOn w:val="HCH"/>
    <w:next w:val="Normal"/>
    <w:qFormat/>
    <w:rsid w:val="00b97c09"/>
    <w:pPr>
      <w:spacing w:lineRule="exact" w:line="360"/>
    </w:pPr>
    <w:rPr>
      <w:spacing w:val="-3"/>
      <w:w w:val="99"/>
      <w:sz w:val="34"/>
    </w:rPr>
  </w:style>
  <w:style w:type="paragraph" w:styleId="H23" w:customStyle="1">
    <w:name w:val="_ H_2/3"/>
    <w:basedOn w:val="H1"/>
    <w:next w:val="Normal"/>
    <w:qFormat/>
    <w:rsid w:val="00b97c09"/>
    <w:pPr>
      <w:spacing w:lineRule="exact" w:line="240"/>
      <w:outlineLvl w:val="1"/>
    </w:pPr>
    <w:rPr>
      <w:spacing w:val="2"/>
      <w:sz w:val="20"/>
    </w:rPr>
  </w:style>
  <w:style w:type="paragraph" w:styleId="H4" w:customStyle="1">
    <w:name w:val="_ H_4"/>
    <w:basedOn w:val="Normal"/>
    <w:next w:val="Normal"/>
    <w:qFormat/>
    <w:rsid w:val="00b97c09"/>
    <w:pPr>
      <w:keepNext w:val="true"/>
      <w:keepLines/>
      <w:tabs>
        <w:tab w:val="clear" w:pos="475"/>
        <w:tab w:val="right" w:pos="360" w:leader="none"/>
      </w:tabs>
      <w:suppressAutoHyphens w:val="true"/>
      <w:outlineLvl w:val="3"/>
    </w:pPr>
    <w:rPr>
      <w:i/>
      <w:spacing w:val="3"/>
    </w:rPr>
  </w:style>
  <w:style w:type="paragraph" w:styleId="H56" w:customStyle="1">
    <w:name w:val="_ H_5/6"/>
    <w:basedOn w:val="Normal"/>
    <w:next w:val="Normal"/>
    <w:qFormat/>
    <w:rsid w:val="00b97c09"/>
    <w:pPr>
      <w:keepNext w:val="true"/>
      <w:keepLines/>
      <w:tabs>
        <w:tab w:val="clear" w:pos="475"/>
        <w:tab w:val="right" w:pos="360" w:leader="none"/>
      </w:tabs>
      <w:suppressAutoHyphens w:val="true"/>
      <w:outlineLvl w:val="4"/>
    </w:pPr>
    <w:rPr>
      <w:rFonts w:ascii="marge tawagan" w:hAnsi="marge tawagan"/>
    </w:rPr>
  </w:style>
  <w:style w:type="paragraph" w:styleId="DualTxt" w:customStyle="1">
    <w:name w:val="__Dual Txt"/>
    <w:basedOn w:val="Normal"/>
    <w:qFormat/>
    <w:rsid w:val="00b97c09"/>
    <w:pPr>
      <w:tabs>
        <w:tab w:val="left" w:pos="475" w:leader="none"/>
        <w:tab w:val="left" w:pos="965" w:leader="none"/>
        <w:tab w:val="left" w:pos="1440" w:leader="none"/>
        <w:tab w:val="left" w:pos="1915" w:leader="none"/>
        <w:tab w:val="left" w:pos="2405" w:leader="none"/>
        <w:tab w:val="left" w:pos="2880" w:leader="none"/>
        <w:tab w:val="left" w:pos="3355" w:leader="none"/>
      </w:tabs>
      <w:spacing w:before="0" w:after="120"/>
      <w:jc w:val="both"/>
    </w:pPr>
    <w:rPr/>
  </w:style>
  <w:style w:type="paragraph" w:styleId="SM" w:customStyle="1">
    <w:name w:val="__S_M"/>
    <w:basedOn w:val="Normal"/>
    <w:next w:val="Normal"/>
    <w:qFormat/>
    <w:rsid w:val="00b97c09"/>
    <w:pPr>
      <w:keepNext w:val="true"/>
      <w:keepLines/>
      <w:tabs>
        <w:tab w:val="clear" w:pos="475"/>
        <w:tab w:val="right" w:pos="360" w:leader="none"/>
      </w:tabs>
      <w:suppressAutoHyphens w:val="true"/>
      <w:spacing w:lineRule="exact" w:line="390"/>
      <w:ind w:left="1267" w:right="1267" w:hanging="0"/>
      <w:outlineLvl w:val="0"/>
    </w:pPr>
    <w:rPr>
      <w:b/>
      <w:spacing w:val="-4"/>
      <w:w w:val="98"/>
      <w:sz w:val="40"/>
    </w:rPr>
  </w:style>
  <w:style w:type="paragraph" w:styleId="SL" w:customStyle="1">
    <w:name w:val="__S_L"/>
    <w:basedOn w:val="SM"/>
    <w:next w:val="Normal"/>
    <w:qFormat/>
    <w:rsid w:val="00b97c09"/>
    <w:pPr>
      <w:spacing w:lineRule="exact" w:line="540"/>
    </w:pPr>
    <w:rPr>
      <w:spacing w:val="-8"/>
      <w:w w:val="96"/>
      <w:sz w:val="57"/>
    </w:rPr>
  </w:style>
  <w:style w:type="paragraph" w:styleId="SS" w:customStyle="1">
    <w:name w:val="__S_S"/>
    <w:basedOn w:val="HCH"/>
    <w:next w:val="Normal"/>
    <w:qFormat/>
    <w:rsid w:val="00b97c09"/>
    <w:pPr>
      <w:ind w:left="1267" w:right="1267" w:hanging="0"/>
    </w:pPr>
    <w:rPr/>
  </w:style>
  <w:style w:type="paragraph" w:styleId="SingleTxt" w:customStyle="1">
    <w:name w:val="__Single Txt"/>
    <w:basedOn w:val="Normal"/>
    <w:qFormat/>
    <w:rsid w:val="00b97c09"/>
    <w:pPr>
      <w:tabs>
        <w:tab w:val="clear" w:pos="475"/>
        <w:tab w:val="left" w:pos="1267" w:leader="none"/>
        <w:tab w:val="left" w:pos="1742" w:leader="none"/>
        <w:tab w:val="left" w:pos="2218" w:leader="none"/>
        <w:tab w:val="left" w:pos="2693" w:leader="none"/>
        <w:tab w:val="left" w:pos="3182" w:leader="none"/>
        <w:tab w:val="left" w:pos="3658" w:leader="none"/>
        <w:tab w:val="left" w:pos="4133" w:leader="none"/>
        <w:tab w:val="left" w:pos="4622" w:leader="none"/>
        <w:tab w:val="left" w:pos="5098" w:leader="none"/>
        <w:tab w:val="left" w:pos="5573" w:leader="none"/>
        <w:tab w:val="left" w:pos="6048" w:leader="none"/>
      </w:tabs>
      <w:suppressAutoHyphens w:val="true"/>
      <w:spacing w:lineRule="atLeast" w:line="240" w:before="0" w:after="120"/>
      <w:ind w:left="1267" w:right="1267" w:hanging="0"/>
      <w:jc w:val="both"/>
    </w:pPr>
    <w:rPr/>
  </w:style>
  <w:style w:type="paragraph" w:styleId="AgendaItemNormal" w:customStyle="1">
    <w:name w:val="Agenda_Item_Normal"/>
    <w:next w:val="Normal"/>
    <w:autoRedefine/>
    <w:qFormat/>
    <w:rsid w:val="00b97c09"/>
    <w:pPr>
      <w:widowControl/>
      <w:bidi w:val="0"/>
      <w:spacing w:lineRule="exact" w:line="240" w:before="0" w:after="0"/>
      <w:jc w:val="left"/>
    </w:pPr>
    <w:rPr>
      <w:rFonts w:ascii="Times New Roman" w:hAnsi="Times New Roman" w:eastAsia="Calibri" w:cs="Times New Roman" w:eastAsiaTheme="minorHAnsi"/>
      <w:color w:val="auto"/>
      <w:spacing w:val="4"/>
      <w:w w:val="103"/>
      <w:kern w:val="2"/>
      <w:sz w:val="20"/>
      <w:szCs w:val="22"/>
      <w:lang w:val="fr-CA" w:eastAsia="en-US" w:bidi="ar-SA"/>
    </w:rPr>
  </w:style>
  <w:style w:type="paragraph" w:styleId="TitleH1" w:customStyle="1">
    <w:name w:val="Title_H1"/>
    <w:basedOn w:val="Normal"/>
    <w:next w:val="SingleTxt"/>
    <w:qFormat/>
    <w:rsid w:val="00b97c09"/>
    <w:pPr>
      <w:keepNext w:val="true"/>
      <w:keepLines/>
      <w:tabs>
        <w:tab w:val="clear" w:pos="475"/>
        <w:tab w:val="right" w:pos="1022" w:leader="none"/>
        <w:tab w:val="left" w:pos="1267" w:leader="none"/>
        <w:tab w:val="left" w:pos="1742" w:leader="none"/>
        <w:tab w:val="left" w:pos="2218" w:leader="none"/>
        <w:tab w:val="left" w:pos="2693" w:leader="none"/>
        <w:tab w:val="left" w:pos="3182" w:leader="none"/>
        <w:tab w:val="left" w:pos="3658" w:leader="none"/>
        <w:tab w:val="left" w:pos="4133" w:leader="none"/>
        <w:tab w:val="left" w:pos="4622" w:leader="none"/>
        <w:tab w:val="left" w:pos="5098" w:leader="none"/>
        <w:tab w:val="left" w:pos="5573" w:leader="none"/>
        <w:tab w:val="left" w:pos="6048" w:leader="none"/>
      </w:tabs>
      <w:spacing w:lineRule="exact" w:line="270"/>
      <w:ind w:left="1267" w:right="1267" w:hanging="1267"/>
      <w:outlineLvl w:val="0"/>
    </w:pPr>
    <w:rPr>
      <w:b/>
      <w:sz w:val="24"/>
    </w:rPr>
  </w:style>
  <w:style w:type="paragraph" w:styleId="AgendaTitleH2" w:customStyle="1">
    <w:name w:val="Agenda_Title_H2"/>
    <w:basedOn w:val="H1"/>
    <w:next w:val="Normal"/>
    <w:qFormat/>
    <w:rsid w:val="00b97c09"/>
    <w:pPr>
      <w:spacing w:lineRule="exact" w:line="240"/>
      <w:ind w:right="5040" w:hanging="0"/>
      <w:outlineLvl w:val="1"/>
    </w:pPr>
    <w:rPr>
      <w:spacing w:val="2"/>
      <w:sz w:val="20"/>
    </w:rPr>
  </w:style>
  <w:style w:type="paragraph" w:styleId="BalloonText">
    <w:name w:val="Balloon Text"/>
    <w:basedOn w:val="Normal"/>
    <w:link w:val="BalloonTextChar"/>
    <w:uiPriority w:val="99"/>
    <w:semiHidden/>
    <w:unhideWhenUsed/>
    <w:qFormat/>
    <w:rsid w:val="00b97c09"/>
    <w:pPr>
      <w:spacing w:lineRule="auto" w:line="240"/>
    </w:pPr>
    <w:rPr>
      <w:rFonts w:ascii="Tahoma" w:hAnsi="Tahoma" w:cs="Tahoma"/>
      <w:sz w:val="16"/>
      <w:szCs w:val="16"/>
    </w:rPr>
  </w:style>
  <w:style w:type="paragraph" w:styleId="Bullet1" w:customStyle="1">
    <w:name w:val="Bullet 1"/>
    <w:basedOn w:val="Normal"/>
    <w:qFormat/>
    <w:rsid w:val="00b97c09"/>
    <w:pPr>
      <w:spacing w:before="0" w:after="120"/>
      <w:ind w:right="1267" w:hanging="0"/>
      <w:jc w:val="both"/>
    </w:pPr>
    <w:rPr/>
  </w:style>
  <w:style w:type="paragraph" w:styleId="Bullet2" w:customStyle="1">
    <w:name w:val="Bullet 2"/>
    <w:basedOn w:val="Normal"/>
    <w:qFormat/>
    <w:rsid w:val="00b97c09"/>
    <w:pPr>
      <w:spacing w:before="0" w:after="120"/>
      <w:ind w:right="1264" w:hanging="0"/>
      <w:jc w:val="both"/>
    </w:pPr>
    <w:rPr/>
  </w:style>
  <w:style w:type="paragraph" w:styleId="Bullet3" w:customStyle="1">
    <w:name w:val="Bullet 3"/>
    <w:basedOn w:val="SingleTxt"/>
    <w:qFormat/>
    <w:rsid w:val="00b97c09"/>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rPr/>
  </w:style>
  <w:style w:type="paragraph" w:styleId="Distribution" w:customStyle="1">
    <w:name w:val="Distribution"/>
    <w:next w:val="Normal"/>
    <w:autoRedefine/>
    <w:qFormat/>
    <w:rsid w:val="00b97c09"/>
    <w:pPr>
      <w:widowControl/>
      <w:bidi w:val="0"/>
      <w:spacing w:lineRule="auto" w:line="240" w:before="240" w:after="0"/>
      <w:jc w:val="left"/>
    </w:pPr>
    <w:rPr>
      <w:rFonts w:ascii="Times New Roman" w:hAnsi="Times New Roman" w:eastAsia="Calibri" w:cs="Times New Roman" w:eastAsiaTheme="minorHAnsi"/>
      <w:color w:val="auto"/>
      <w:spacing w:val="4"/>
      <w:w w:val="103"/>
      <w:kern w:val="2"/>
      <w:sz w:val="20"/>
      <w:szCs w:val="22"/>
      <w:lang w:val="en-US" w:eastAsia="en-US" w:bidi="ar-SA"/>
    </w:rPr>
  </w:style>
  <w:style w:type="paragraph" w:styleId="Notedefin">
    <w:name w:val="Endnote Text"/>
    <w:basedOn w:val="Normal"/>
    <w:link w:val="EndnoteTextChar"/>
    <w:uiPriority w:val="99"/>
    <w:semiHidden/>
    <w:unhideWhenUsed/>
    <w:rsid w:val="00b97c09"/>
    <w:pPr>
      <w:spacing w:lineRule="exact" w:line="210"/>
    </w:pPr>
    <w:rPr>
      <w:sz w:val="17"/>
      <w:szCs w:val="20"/>
    </w:rPr>
  </w:style>
  <w:style w:type="paragraph" w:styleId="Entteetpieddepage">
    <w:name w:val="En-tête et pied de page"/>
    <w:basedOn w:val="Normal"/>
    <w:qFormat/>
    <w:pPr/>
    <w:rPr/>
  </w:style>
  <w:style w:type="paragraph" w:styleId="Pieddepage">
    <w:name w:val="Footer"/>
    <w:link w:val="FooterChar"/>
    <w:uiPriority w:val="99"/>
    <w:qFormat/>
    <w:rsid w:val="00b97c09"/>
    <w:pPr>
      <w:widowControl/>
      <w:tabs>
        <w:tab w:val="clear" w:pos="475"/>
        <w:tab w:val="center" w:pos="4320" w:leader="none"/>
        <w:tab w:val="right" w:pos="8640" w:leader="none"/>
      </w:tabs>
      <w:bidi w:val="0"/>
      <w:spacing w:lineRule="exact" w:line="210" w:before="0" w:after="0"/>
      <w:jc w:val="left"/>
    </w:pPr>
    <w:rPr>
      <w:rFonts w:ascii="Times New Roman" w:hAnsi="Times New Roman" w:eastAsia="Calibri" w:cs="Times New Roman" w:eastAsiaTheme="minorHAnsi"/>
      <w:b/>
      <w:color w:val="auto"/>
      <w:spacing w:val="3"/>
      <w:w w:val="105"/>
      <w:kern w:val="0"/>
      <w:sz w:val="17"/>
      <w:szCs w:val="22"/>
      <w:lang w:val="en-US" w:eastAsia="en-US" w:bidi="ar-SA"/>
    </w:rPr>
  </w:style>
  <w:style w:type="paragraph" w:styleId="Notedebasdepage">
    <w:name w:val="Footnote Text"/>
    <w:basedOn w:val="Normal"/>
    <w:link w:val="FootnoteTextChar"/>
    <w:uiPriority w:val="99"/>
    <w:rsid w:val="00b97c09"/>
    <w:pPr>
      <w:spacing w:lineRule="exact" w:line="210"/>
    </w:pPr>
    <w:rPr>
      <w:sz w:val="17"/>
      <w:szCs w:val="20"/>
    </w:rPr>
  </w:style>
  <w:style w:type="paragraph" w:styleId="Entte">
    <w:name w:val="Header"/>
    <w:link w:val="HeaderChar"/>
    <w:uiPriority w:val="99"/>
    <w:rsid w:val="00b97c09"/>
    <w:pPr>
      <w:widowControl/>
      <w:tabs>
        <w:tab w:val="clear" w:pos="475"/>
        <w:tab w:val="center" w:pos="4320" w:leader="none"/>
        <w:tab w:val="right" w:pos="8640" w:leader="none"/>
      </w:tabs>
      <w:bidi w:val="0"/>
      <w:spacing w:lineRule="exact" w:line="210" w:before="0" w:after="0"/>
      <w:jc w:val="left"/>
    </w:pPr>
    <w:rPr>
      <w:rFonts w:ascii="Times New Roman" w:hAnsi="Times New Roman" w:eastAsia="Calibri" w:cs="Times New Roman" w:eastAsiaTheme="minorHAnsi"/>
      <w:color w:val="auto"/>
      <w:spacing w:val="3"/>
      <w:w w:val="105"/>
      <w:kern w:val="0"/>
      <w:sz w:val="17"/>
      <w:szCs w:val="22"/>
      <w:lang w:val="en-US" w:eastAsia="en-US" w:bidi="ar-SA"/>
    </w:rPr>
  </w:style>
  <w:style w:type="paragraph" w:styleId="ListParagraph">
    <w:name w:val="List Paragraph"/>
    <w:basedOn w:val="Normal"/>
    <w:uiPriority w:val="34"/>
    <w:qFormat/>
    <w:rsid w:val="00b97c09"/>
    <w:pPr>
      <w:spacing w:before="0" w:after="0"/>
      <w:ind w:left="720" w:hanging="0"/>
      <w:contextualSpacing/>
    </w:pPr>
    <w:rPr/>
  </w:style>
  <w:style w:type="paragraph" w:styleId="NoSpacing">
    <w:name w:val="No Spacing"/>
    <w:uiPriority w:val="1"/>
    <w:qFormat/>
    <w:rsid w:val="00b97c09"/>
    <w:pPr>
      <w:widowControl/>
      <w:bidi w:val="0"/>
      <w:spacing w:lineRule="auto" w:line="240" w:before="0" w:after="0"/>
      <w:jc w:val="left"/>
    </w:pPr>
    <w:rPr>
      <w:rFonts w:ascii="Calibri" w:hAnsi="Calibri" w:eastAsia="Calibri" w:cs="Times New Roman" w:eastAsiaTheme="minorHAnsi"/>
      <w:color w:val="auto"/>
      <w:kern w:val="0"/>
      <w:sz w:val="20"/>
      <w:szCs w:val="22"/>
      <w:lang w:val="en-US" w:eastAsia="en-US" w:bidi="ar-SA"/>
    </w:rPr>
  </w:style>
  <w:style w:type="paragraph" w:styleId="Original" w:customStyle="1">
    <w:name w:val="Original"/>
    <w:next w:val="Normal"/>
    <w:autoRedefine/>
    <w:qFormat/>
    <w:rsid w:val="00b97c09"/>
    <w:pPr>
      <w:widowControl/>
      <w:bidi w:val="0"/>
      <w:spacing w:lineRule="auto" w:line="240" w:before="0" w:after="0"/>
      <w:jc w:val="left"/>
    </w:pPr>
    <w:rPr>
      <w:rFonts w:ascii="Times New Roman" w:hAnsi="Times New Roman" w:eastAsia="Calibri" w:cs="Times New Roman" w:eastAsiaTheme="minorHAnsi"/>
      <w:color w:val="auto"/>
      <w:spacing w:val="4"/>
      <w:w w:val="103"/>
      <w:kern w:val="2"/>
      <w:sz w:val="20"/>
      <w:szCs w:val="22"/>
      <w:lang w:val="en-US" w:eastAsia="en-US" w:bidi="ar-SA"/>
    </w:rPr>
  </w:style>
  <w:style w:type="paragraph" w:styleId="Publication" w:customStyle="1">
    <w:name w:val="Publication"/>
    <w:next w:val="Normal"/>
    <w:autoRedefine/>
    <w:qFormat/>
    <w:rsid w:val="00b97c09"/>
    <w:pPr>
      <w:widowControl/>
      <w:bidi w:val="0"/>
      <w:spacing w:lineRule="auto" w:line="240" w:before="0" w:after="0"/>
      <w:jc w:val="left"/>
    </w:pPr>
    <w:rPr>
      <w:rFonts w:ascii="Times New Roman" w:hAnsi="Times New Roman" w:eastAsia="Calibri" w:cs="Times New Roman" w:eastAsiaTheme="minorHAnsi"/>
      <w:color w:val="auto"/>
      <w:spacing w:val="4"/>
      <w:w w:val="103"/>
      <w:kern w:val="2"/>
      <w:sz w:val="20"/>
      <w:szCs w:val="22"/>
      <w:lang w:val="en-US" w:eastAsia="en-US" w:bidi="ar-SA"/>
    </w:rPr>
  </w:style>
  <w:style w:type="paragraph" w:styleId="ReleaseDate" w:customStyle="1">
    <w:name w:val="Release Date"/>
    <w:next w:val="Normal"/>
    <w:autoRedefine/>
    <w:qFormat/>
    <w:rsid w:val="00b97c09"/>
    <w:pPr>
      <w:widowControl/>
      <w:bidi w:val="0"/>
      <w:spacing w:lineRule="auto" w:line="240" w:before="0" w:after="0"/>
      <w:jc w:val="left"/>
    </w:pPr>
    <w:rPr>
      <w:rFonts w:ascii="Times New Roman" w:hAnsi="Times New Roman" w:eastAsia="Calibri" w:cs="Times New Roman" w:eastAsiaTheme="minorHAnsi"/>
      <w:color w:val="auto"/>
      <w:spacing w:val="-3"/>
      <w:w w:val="99"/>
      <w:kern w:val="2"/>
      <w:sz w:val="20"/>
      <w:szCs w:val="22"/>
      <w:lang w:val="en-US" w:eastAsia="en-US" w:bidi="ar-SA"/>
    </w:rPr>
  </w:style>
  <w:style w:type="paragraph" w:styleId="Small" w:customStyle="1">
    <w:name w:val="Small"/>
    <w:basedOn w:val="Normal"/>
    <w:next w:val="Normal"/>
    <w:qFormat/>
    <w:rsid w:val="00b97c09"/>
    <w:pPr>
      <w:tabs>
        <w:tab w:val="clear" w:pos="475"/>
        <w:tab w:val="right" w:pos="9965" w:leader="none"/>
      </w:tabs>
      <w:spacing w:lineRule="exact" w:line="210"/>
    </w:pPr>
    <w:rPr>
      <w:spacing w:val="5"/>
      <w:w w:val="104"/>
      <w:sz w:val="17"/>
    </w:rPr>
  </w:style>
  <w:style w:type="paragraph" w:styleId="SmallX" w:customStyle="1">
    <w:name w:val="SmallX"/>
    <w:basedOn w:val="Small"/>
    <w:next w:val="Normal"/>
    <w:qFormat/>
    <w:rsid w:val="00b97c09"/>
    <w:pPr>
      <w:spacing w:lineRule="exact" w:line="180"/>
      <w:jc w:val="right"/>
    </w:pPr>
    <w:rPr>
      <w:spacing w:val="6"/>
      <w:w w:val="106"/>
      <w:sz w:val="14"/>
    </w:rPr>
  </w:style>
  <w:style w:type="paragraph" w:styleId="Style11" w:customStyle="1">
    <w:name w:val="Style1"/>
    <w:basedOn w:val="Normal"/>
    <w:qFormat/>
    <w:rsid w:val="00b97c09"/>
    <w:pPr/>
    <w:rPr/>
  </w:style>
  <w:style w:type="paragraph" w:styleId="Style21" w:customStyle="1">
    <w:name w:val="Style2"/>
    <w:basedOn w:val="Normal"/>
    <w:autoRedefine/>
    <w:qFormat/>
    <w:rsid w:val="00b97c09"/>
    <w:pPr/>
    <w:rPr/>
  </w:style>
  <w:style w:type="paragraph" w:styleId="TitleHCH" w:customStyle="1">
    <w:name w:val="Title_H_CH"/>
    <w:basedOn w:val="H1"/>
    <w:next w:val="Normal"/>
    <w:qFormat/>
    <w:rsid w:val="00b97c09"/>
    <w:pPr>
      <w:tabs>
        <w:tab w:val="clear" w:pos="475"/>
        <w:tab w:val="right" w:pos="1022" w:leader="none"/>
        <w:tab w:val="left" w:pos="1267" w:leader="none"/>
        <w:tab w:val="left" w:pos="1742" w:leader="none"/>
        <w:tab w:val="left" w:pos="2218" w:leader="none"/>
        <w:tab w:val="left" w:pos="2693" w:leader="none"/>
        <w:tab w:val="left" w:pos="3182" w:leader="none"/>
        <w:tab w:val="left" w:pos="3658" w:leader="none"/>
        <w:tab w:val="left" w:pos="4133" w:leader="none"/>
        <w:tab w:val="left" w:pos="4622" w:leader="none"/>
        <w:tab w:val="left" w:pos="5098" w:leader="none"/>
        <w:tab w:val="left" w:pos="5573" w:leader="none"/>
        <w:tab w:val="left" w:pos="6048" w:leader="none"/>
      </w:tabs>
      <w:spacing w:lineRule="exact" w:line="300"/>
      <w:ind w:left="1267" w:right="1267" w:hanging="1267"/>
    </w:pPr>
    <w:rPr>
      <w:spacing w:val="2"/>
      <w:sz w:val="28"/>
    </w:rPr>
  </w:style>
  <w:style w:type="paragraph" w:styleId="TitleH2" w:customStyle="1">
    <w:name w:val="Title_H2"/>
    <w:basedOn w:val="H1"/>
    <w:next w:val="Normal"/>
    <w:qFormat/>
    <w:rsid w:val="00b97c09"/>
    <w:pPr>
      <w:tabs>
        <w:tab w:val="clear" w:pos="475"/>
        <w:tab w:val="right" w:pos="1022" w:leader="none"/>
        <w:tab w:val="left" w:pos="1267" w:leader="none"/>
        <w:tab w:val="left" w:pos="1742" w:leader="none"/>
        <w:tab w:val="left" w:pos="2218" w:leader="none"/>
        <w:tab w:val="left" w:pos="2693" w:leader="none"/>
        <w:tab w:val="left" w:pos="3182" w:leader="none"/>
        <w:tab w:val="left" w:pos="3658" w:leader="none"/>
        <w:tab w:val="left" w:pos="4133" w:leader="none"/>
        <w:tab w:val="left" w:pos="4622" w:leader="none"/>
        <w:tab w:val="left" w:pos="5098" w:leader="none"/>
        <w:tab w:val="left" w:pos="5573" w:leader="none"/>
        <w:tab w:val="left" w:pos="6048" w:leader="none"/>
      </w:tabs>
      <w:spacing w:lineRule="exact" w:line="240"/>
      <w:outlineLvl w:val="1"/>
    </w:pPr>
    <w:rPr>
      <w:spacing w:val="2"/>
      <w:sz w:val="20"/>
    </w:rPr>
  </w:style>
  <w:style w:type="paragraph" w:styleId="XLarge" w:customStyle="1">
    <w:name w:val="XLarge"/>
    <w:basedOn w:val="HM"/>
    <w:qFormat/>
    <w:rsid w:val="00b97c09"/>
    <w:pPr>
      <w:tabs>
        <w:tab w:val="clear" w:pos="475"/>
        <w:tab w:val="right" w:pos="360" w:leader="none"/>
      </w:tabs>
      <w:spacing w:lineRule="exact" w:line="390"/>
    </w:pPr>
    <w:rPr>
      <w:spacing w:val="-4"/>
      <w:w w:val="98"/>
      <w:sz w:val="40"/>
    </w:rPr>
  </w:style>
  <w:style w:type="paragraph" w:styleId="Session" w:customStyle="1">
    <w:name w:val="Session"/>
    <w:basedOn w:val="H23"/>
    <w:qFormat/>
    <w:rsid w:val="00472b7f"/>
    <w:pPr/>
    <w:rPr>
      <w:lang w:val="fr-FR"/>
    </w:rPr>
  </w:style>
  <w:style w:type="paragraph" w:styleId="Sponsors" w:customStyle="1">
    <w:name w:val="Sponsors"/>
    <w:basedOn w:val="TitleH1"/>
    <w:next w:val="SingleTxt"/>
    <w:qFormat/>
    <w:rsid w:val="003905fa"/>
    <w:pPr>
      <w:spacing w:lineRule="exact" w:line="240"/>
      <w:outlineLvl w:val="1"/>
    </w:pPr>
    <w:rPr>
      <w:spacing w:val="2"/>
      <w:sz w:val="20"/>
    </w:rPr>
  </w:style>
  <w:style w:type="paragraph" w:styleId="STitleM" w:customStyle="1">
    <w:name w:val="S_Title_M"/>
    <w:basedOn w:val="Normal"/>
    <w:next w:val="Normal"/>
    <w:qFormat/>
    <w:rsid w:val="00472b7f"/>
    <w:pPr>
      <w:keepNext w:val="true"/>
      <w:keepLines/>
      <w:tabs>
        <w:tab w:val="clear" w:pos="475"/>
        <w:tab w:val="right" w:pos="357" w:leader="none"/>
      </w:tabs>
      <w:suppressAutoHyphens w:val="true"/>
      <w:spacing w:lineRule="exact" w:line="390"/>
      <w:ind w:left="1264" w:right="1264" w:hanging="0"/>
      <w:outlineLvl w:val="0"/>
    </w:pPr>
    <w:rPr>
      <w:b/>
      <w:spacing w:val="-4"/>
      <w:w w:val="98"/>
      <w:sz w:val="40"/>
    </w:rPr>
  </w:style>
  <w:style w:type="paragraph" w:styleId="STitleS" w:customStyle="1">
    <w:name w:val="S_Title_S"/>
    <w:basedOn w:val="HCH"/>
    <w:next w:val="Normal"/>
    <w:qFormat/>
    <w:rsid w:val="00472b7f"/>
    <w:pPr>
      <w:ind w:left="1264" w:right="1264" w:hanging="0"/>
    </w:pPr>
    <w:rPr/>
  </w:style>
  <w:style w:type="paragraph" w:styleId="STitleL" w:customStyle="1">
    <w:name w:val="S_Title_L"/>
    <w:basedOn w:val="SM"/>
    <w:next w:val="Normal"/>
    <w:qFormat/>
    <w:rsid w:val="00472b7f"/>
    <w:pPr>
      <w:spacing w:lineRule="exact" w:line="540"/>
    </w:pPr>
    <w:rPr>
      <w:spacing w:val="-8"/>
      <w:w w:val="96"/>
      <w:sz w:val="57"/>
    </w:rPr>
  </w:style>
  <w:style w:type="paragraph" w:styleId="SummaryRecord" w:customStyle="1">
    <w:name w:val="SummaryRecord"/>
    <w:basedOn w:val="H23"/>
    <w:next w:val="Session"/>
    <w:qFormat/>
    <w:rsid w:val="00472b7f"/>
    <w:pPr/>
    <w:rPr/>
  </w:style>
  <w:style w:type="paragraph" w:styleId="SRMeetingInfo" w:customStyle="1">
    <w:name w:val="SR_Meeting_Info"/>
    <w:next w:val="Normal"/>
    <w:qFormat/>
    <w:rsid w:val="00472b7f"/>
    <w:pPr>
      <w:widowControl/>
      <w:bidi w:val="0"/>
      <w:spacing w:lineRule="exact" w:line="240" w:before="0" w:after="0"/>
      <w:jc w:val="left"/>
    </w:pPr>
    <w:rPr>
      <w:rFonts w:ascii="Times New Roman" w:hAnsi="Times New Roman" w:eastAsia="Calibri" w:cs="Times New Roman" w:eastAsiaTheme="minorHAnsi"/>
      <w:color w:val="auto"/>
      <w:spacing w:val="4"/>
      <w:w w:val="103"/>
      <w:kern w:val="2"/>
      <w:sz w:val="20"/>
      <w:szCs w:val="22"/>
      <w:lang w:val="fr-CA" w:eastAsia="en-US" w:bidi="ar-SA"/>
    </w:rPr>
  </w:style>
  <w:style w:type="paragraph" w:styleId="SRContents" w:customStyle="1">
    <w:name w:val="SR_Contents"/>
    <w:basedOn w:val="Normal"/>
    <w:qFormat/>
    <w:rsid w:val="00472b7f"/>
    <w:pPr>
      <w:tabs>
        <w:tab w:val="clear" w:pos="475"/>
        <w:tab w:val="left" w:pos="1267" w:leader="none"/>
        <w:tab w:val="left" w:pos="1742" w:leader="none"/>
        <w:tab w:val="left" w:pos="2218" w:leader="none"/>
        <w:tab w:val="left" w:pos="2693" w:leader="none"/>
        <w:tab w:val="left" w:pos="3182" w:leader="none"/>
        <w:tab w:val="left" w:pos="3658" w:leader="none"/>
        <w:tab w:val="left" w:pos="4133" w:leader="none"/>
        <w:tab w:val="left" w:pos="4622" w:leader="none"/>
        <w:tab w:val="left" w:pos="5098" w:leader="none"/>
        <w:tab w:val="left" w:pos="5573" w:leader="none"/>
        <w:tab w:val="left" w:pos="6048" w:leader="none"/>
      </w:tabs>
      <w:spacing w:lineRule="atLeast" w:line="240" w:before="0" w:after="120"/>
      <w:ind w:left="1267" w:right="1267" w:hanging="0"/>
      <w:jc w:val="both"/>
    </w:pPr>
    <w:rPr/>
  </w:style>
  <w:style w:type="paragraph" w:styleId="AgendaItemNumber" w:customStyle="1">
    <w:name w:val="Agenda_Item_Number"/>
    <w:next w:val="Normal"/>
    <w:qFormat/>
    <w:rsid w:val="00472b7f"/>
    <w:pPr>
      <w:widowControl/>
      <w:bidi w:val="0"/>
      <w:spacing w:lineRule="exact" w:line="240" w:before="0" w:after="0"/>
      <w:jc w:val="left"/>
    </w:pPr>
    <w:rPr>
      <w:rFonts w:ascii="Times New Roman" w:hAnsi="Times New Roman" w:eastAsia="Calibri" w:cs="Times New Roman" w:eastAsiaTheme="minorHAnsi"/>
      <w:color w:val="auto"/>
      <w:spacing w:val="4"/>
      <w:w w:val="103"/>
      <w:kern w:val="2"/>
      <w:sz w:val="20"/>
      <w:szCs w:val="22"/>
      <w:lang w:val="fr-CA" w:eastAsia="en-US" w:bidi="ar-SA"/>
    </w:rPr>
  </w:style>
  <w:style w:type="paragraph" w:styleId="AgendaItemTitle" w:customStyle="1">
    <w:name w:val="Agenda_Item_Title"/>
    <w:basedOn w:val="H1"/>
    <w:next w:val="Normal"/>
    <w:qFormat/>
    <w:rsid w:val="00472b7f"/>
    <w:pPr>
      <w:spacing w:lineRule="exact" w:line="240"/>
      <w:ind w:right="5040" w:hanging="0"/>
      <w:outlineLvl w:val="1"/>
    </w:pPr>
    <w:rPr>
      <w:spacing w:val="2"/>
      <w:sz w:val="20"/>
    </w:rPr>
  </w:style>
  <w:style w:type="paragraph" w:styleId="DecisionNumber" w:customStyle="1">
    <w:name w:val="DecisionNumber"/>
    <w:basedOn w:val="H1"/>
    <w:next w:val="Normal"/>
    <w:qFormat/>
    <w:rsid w:val="00472b7f"/>
    <w:pPr>
      <w:spacing w:lineRule="exact" w:line="240"/>
      <w:ind w:right="5040" w:hanging="0"/>
      <w:outlineLvl w:val="1"/>
    </w:pPr>
    <w:rPr>
      <w:spacing w:val="2"/>
      <w:sz w:val="20"/>
    </w:rPr>
  </w:style>
  <w:style w:type="paragraph" w:styleId="DecisionTitle" w:customStyle="1">
    <w:name w:val="DecisionTitle"/>
    <w:basedOn w:val="H1"/>
    <w:next w:val="Normal"/>
    <w:qFormat/>
    <w:rsid w:val="00472b7f"/>
    <w:pPr>
      <w:spacing w:lineRule="exact" w:line="240"/>
      <w:ind w:right="5040" w:hanging="0"/>
      <w:outlineLvl w:val="1"/>
    </w:pPr>
    <w:rPr>
      <w:spacing w:val="2"/>
      <w:sz w:val="20"/>
    </w:rPr>
  </w:style>
  <w:style w:type="paragraph" w:styleId="MeetingNumber" w:customStyle="1">
    <w:name w:val="MeetingNumber"/>
    <w:basedOn w:val="H1"/>
    <w:next w:val="Normal"/>
    <w:qFormat/>
    <w:rsid w:val="00472b7f"/>
    <w:pPr>
      <w:spacing w:lineRule="exact" w:line="240"/>
      <w:ind w:right="5040" w:hanging="0"/>
      <w:outlineLvl w:val="1"/>
    </w:pPr>
    <w:rPr>
      <w:spacing w:val="2"/>
      <w:sz w:val="20"/>
    </w:rPr>
  </w:style>
  <w:style w:type="paragraph" w:styleId="Annotationtext">
    <w:name w:val="annotation text"/>
    <w:basedOn w:val="Normal"/>
    <w:link w:val="CommentTextChar"/>
    <w:uiPriority w:val="99"/>
    <w:semiHidden/>
    <w:unhideWhenUsed/>
    <w:qFormat/>
    <w:rsid w:val="00bc458d"/>
    <w:pPr>
      <w:spacing w:lineRule="auto" w:line="240"/>
    </w:pPr>
    <w:rPr>
      <w:szCs w:val="20"/>
    </w:rPr>
  </w:style>
  <w:style w:type="paragraph" w:styleId="Annotationsubject">
    <w:name w:val="annotation subject"/>
    <w:basedOn w:val="Annotationtext"/>
    <w:next w:val="Annotationtext"/>
    <w:link w:val="CommentSubjectChar"/>
    <w:uiPriority w:val="99"/>
    <w:semiHidden/>
    <w:unhideWhenUsed/>
    <w:qFormat/>
    <w:rsid w:val="00bc458d"/>
    <w:pPr/>
    <w:rPr>
      <w:b/>
      <w:bCs/>
    </w:rPr>
  </w:style>
  <w:style w:type="paragraph" w:styleId="Revision">
    <w:name w:val="Revision"/>
    <w:uiPriority w:val="99"/>
    <w:semiHidden/>
    <w:qFormat/>
    <w:rsid w:val="00733898"/>
    <w:pPr>
      <w:widowControl/>
      <w:bidi w:val="0"/>
      <w:spacing w:lineRule="auto" w:line="240" w:before="0" w:after="0"/>
      <w:jc w:val="left"/>
    </w:pPr>
    <w:rPr>
      <w:rFonts w:ascii="Times New Roman" w:hAnsi="Times New Roman" w:eastAsia="Calibri" w:cs="Times New Roman" w:eastAsiaTheme="minorHAnsi"/>
      <w:color w:val="auto"/>
      <w:spacing w:val="4"/>
      <w:w w:val="103"/>
      <w:kern w:val="2"/>
      <w:sz w:val="20"/>
      <w:szCs w:val="22"/>
      <w:lang w:val="fr-CA" w:eastAsia="en-US" w:bidi="ar-SA"/>
    </w:rPr>
  </w:style>
  <w:style w:type="paragraph" w:styleId="Enttegauche">
    <w:name w:val="En-tête gauche"/>
    <w:basedOn w:val="Entte"/>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undocs.org/fr/S/2014/136" TargetMode="External"/><Relationship Id="rId9" Type="http://schemas.openxmlformats.org/officeDocument/2006/relationships/hyperlink" Target="https://undocs.org/fr/S/RES/2623(2022)" TargetMode="External"/><Relationship Id="rId10" Type="http://schemas.openxmlformats.org/officeDocument/2006/relationships/hyperlink" Target="https://undocs.org/fr/S/Agenda/8979" TargetMode="External"/><Relationship Id="rId11" Type="http://schemas.openxmlformats.org/officeDocument/2006/relationships/hyperlink" Target="https://undocs.org/fr/A/RES/2625(XXV)" TargetMode="External"/><Relationship Id="rId12" Type="http://schemas.openxmlformats.org/officeDocument/2006/relationships/hyperlink" Target="https://undocs.org/fr/A/RES/3314(XXIX)" TargetMode="Externa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3.xml.rels><?xml version="1.0" encoding="UTF-8"?>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
</Relationships>
</file>

<file path=word/_rels/footnotes.xml.rels><?xml version="1.0" encoding="UTF-8"?>
<Relationships xmlns="http://schemas.openxmlformats.org/package/2006/relationships"><Relationship Id="rId1" Type="http://schemas.openxmlformats.org/officeDocument/2006/relationships/hyperlink" Target="https://undocs.org/fr/A/RES/2625(XXV)" TargetMode="Externa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LibreOffice/6.3.0.4$Windows_X86_64 LibreOffice_project/057fc023c990d676a43019934386b85b21a9ee99</Application>
  <Pages>4</Pages>
  <Words>1822</Words>
  <Characters>10380</Characters>
  <CharactersWithSpaces>12205</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2022-03-01T22:04:00Z</dcterms:created>
  <dc:creator>Ngagne Fall</dc:creator>
  <dc:description/>
  <dc:language>fr-BE</dc:language>
  <cp:lastModifiedBy/>
  <cp:lastPrinted>2022-03-01T22:04:00Z</cp:lastPrinted>
  <dcterms:modified xsi:type="dcterms:W3CDTF">2022-03-03T10:03:49Z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da Title1">
    <vt:lpwstr>Lettre datée du 28 février 2014, adressée à la Présidente du Conseil de sécurité par le Représentant permanent de l’Ukraine auprès de l’Organisation des Nations Unies (S/2014/136)</vt:lpwstr>
  </property>
  <property fmtid="{D5CDD505-2E9C-101B-9397-08002B2CF9AE}" pid="3" name="Agenda1">
    <vt:lpwstr>Point 5 de l’ordre du jour</vt:lpwstr>
  </property>
  <property fmtid="{D5CDD505-2E9C-101B-9397-08002B2CF9AE}" pid="4" name="AppVersion">
    <vt:lpwstr>16.0000</vt:lpwstr>
  </property>
  <property fmtid="{D5CDD505-2E9C-101B-9397-08002B2CF9AE}" pid="5" name="Category">
    <vt:lpwstr>Document</vt:lpwstr>
  </property>
  <property fmtid="{D5CDD505-2E9C-101B-9397-08002B2CF9AE}" pid="6" name="Comment">
    <vt:lpwstr/>
  </property>
  <property fmtid="{D5CDD505-2E9C-101B-9397-08002B2CF9AE}" pid="7" name="Distribution">
    <vt:lpwstr>limitée</vt:lpwstr>
  </property>
  <property fmtid="{D5CDD505-2E9C-101B-9397-08002B2CF9AE}" pid="8" name="DocSecurity">
    <vt:i4>0</vt:i4>
  </property>
  <property fmtid="{D5CDD505-2E9C-101B-9397-08002B2CF9AE}" pid="9" name="DraftPages">
    <vt:lpwstr> </vt:lpwstr>
  </property>
  <property fmtid="{D5CDD505-2E9C-101B-9397-08002B2CF9AE}" pid="10" name="HyperlinksChanged">
    <vt:bool>0</vt:bool>
  </property>
  <property fmtid="{D5CDD505-2E9C-101B-9397-08002B2CF9AE}" pid="11" name="JobNo">
    <vt:lpwstr>2202912F</vt:lpwstr>
  </property>
  <property fmtid="{D5CDD505-2E9C-101B-9397-08002B2CF9AE}" pid="12" name="Language">
    <vt:lpwstr>French</vt:lpwstr>
  </property>
  <property fmtid="{D5CDD505-2E9C-101B-9397-08002B2CF9AE}" pid="13" name="LinksUpToDate">
    <vt:bool>0</vt:bool>
  </property>
  <property fmtid="{D5CDD505-2E9C-101B-9397-08002B2CF9AE}" pid="14" name="ODSRefJobNo">
    <vt:lpwstr>2227228F</vt:lpwstr>
  </property>
  <property fmtid="{D5CDD505-2E9C-101B-9397-08002B2CF9AE}" pid="15" name="Operator">
    <vt:lpwstr>nfa</vt:lpwstr>
  </property>
  <property fmtid="{D5CDD505-2E9C-101B-9397-08002B2CF9AE}" pid="16" name="Publication Date">
    <vt:lpwstr>1er mars 2022</vt:lpwstr>
  </property>
  <property fmtid="{D5CDD505-2E9C-101B-9397-08002B2CF9AE}" pid="17" name="Release Date">
    <vt:lpwstr/>
  </property>
  <property fmtid="{D5CDD505-2E9C-101B-9397-08002B2CF9AE}" pid="18" name="ScaleCrop">
    <vt:bool>0</vt:bool>
  </property>
  <property fmtid="{D5CDD505-2E9C-101B-9397-08002B2CF9AE}" pid="19" name="Session1">
    <vt:lpwstr>Onzième session extraordinaire d’urgence</vt:lpwstr>
  </property>
  <property fmtid="{D5CDD505-2E9C-101B-9397-08002B2CF9AE}" pid="20" name="ShareDoc">
    <vt:bool>0</vt:bool>
  </property>
  <property fmtid="{D5CDD505-2E9C-101B-9397-08002B2CF9AE}" pid="21" name="Sponsors">
    <vt:lpwstr>		Afghanistan, Albanie, Allemagne, Andorre, Antigua-et-Barbuda, Argentine, Australie, Autriche, Bahamas, Belgique, Belize, Bosnie-Herzégovine, Botswana, Bulgarie, Canada, Chili, Chypre, Colombie, Costa Rica, Croatie, Danemark, Équateur, Espagne, Estonie, États-Unis d’Amérique, Fidji, Finlande, France, Gambie, Géorgie, Ghana, Grèce, Grenade, Guatemala, Guyana, Haïti, Hongrie, Îles Marshall, Indonésie, Irlande, Islande, Israël, Italie, Jamaïque, Japon, Kiribati, Koweït, Lettonie, Libéria, Liechtenstein, Lituanie, Luxembourg, Macédoine du Nord, Malawi, Malte, Micronésie (États fédérés de), Monaco, Monténégro, Myanmar, Niger, Norvège, Nouvelle-Zélande, Palaos, Panama, Papouasie-Nouvelle-Guinée, Paraguay, Pays-Bas, Pérou, Pologne, Portugal, Qatar, République de Corée, République démocratique du Congo, République de Moldova, République dominicaine, Roumanie, Royaume-Uni de Grande-Bretagne et d’Irlande du Nord, Saint-Kitts-et-Nevis, Saint-Marin, Samoa, Singapour, Slovaquie, Slovénie, Suède, Suisse, Suriname, Tchéquie, Timor-Leste, Tonga, Trinité-et-Tobago, Turquie, Tuvalu, Ukraine et Uruguay : projet de résolution</vt:lpwstr>
  </property>
  <property fmtid="{D5CDD505-2E9C-101B-9397-08002B2CF9AE}" pid="22" name="Symbol1">
    <vt:lpwstr>A/ES-11/L.1</vt:lpwstr>
  </property>
  <property fmtid="{D5CDD505-2E9C-101B-9397-08002B2CF9AE}" pid="23" name="Symbol2">
    <vt:lpwstr/>
  </property>
  <property fmtid="{D5CDD505-2E9C-101B-9397-08002B2CF9AE}" pid="24" name="Title1">
    <vt:lpwstr>		Agression contre l’Ukraine</vt:lpwstr>
  </property>
  <property fmtid="{D5CDD505-2E9C-101B-9397-08002B2CF9AE}" pid="25" name="Translator">
    <vt:lpwstr/>
  </property>
</Properties>
</file>